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cs="宋体"/>
          <w:color w:val="666666"/>
          <w:sz w:val="36"/>
          <w:szCs w:val="36"/>
          <w:lang w:val="en-US" w:eastAsia="zh-CN"/>
        </w:rPr>
      </w:pPr>
      <w:bookmarkStart w:id="0" w:name="_GoBack"/>
      <w:bookmarkEnd w:id="0"/>
      <w:r>
        <w:rPr>
          <w:rFonts w:hint="eastAsia" w:ascii="宋体" w:hAnsi="宋体" w:eastAsia="宋体" w:cs="宋体"/>
          <w:color w:val="666666"/>
          <w:sz w:val="36"/>
          <w:szCs w:val="36"/>
          <w:lang w:eastAsia="zh-CN"/>
        </w:rPr>
        <w:t>赤峰学院</w:t>
      </w:r>
      <w:r>
        <w:rPr>
          <w:rFonts w:hint="eastAsia" w:cs="宋体"/>
          <w:color w:val="666666"/>
          <w:sz w:val="36"/>
          <w:szCs w:val="36"/>
          <w:lang w:val="en-US" w:eastAsia="zh-CN"/>
        </w:rPr>
        <w:t>校园安全管理处</w:t>
      </w:r>
    </w:p>
    <w:p>
      <w:pPr>
        <w:pStyle w:val="2"/>
        <w:widowControl/>
        <w:spacing w:before="0" w:beforeAutospacing="0" w:after="602" w:afterAutospacing="0" w:line="450" w:lineRule="atLeast"/>
        <w:jc w:val="center"/>
        <w:rPr>
          <w:rFonts w:hint="eastAsia" w:ascii="宋体" w:hAnsi="宋体" w:eastAsia="宋体" w:cs="宋体"/>
          <w:color w:val="666666"/>
          <w:sz w:val="36"/>
          <w:szCs w:val="36"/>
          <w:lang w:val="en-US" w:eastAsia="zh-CN"/>
        </w:rPr>
      </w:pPr>
      <w:r>
        <w:rPr>
          <w:rFonts w:hint="eastAsia" w:cs="宋体"/>
          <w:color w:val="666666"/>
          <w:sz w:val="36"/>
          <w:szCs w:val="36"/>
          <w:lang w:val="en-US" w:eastAsia="zh-CN"/>
        </w:rPr>
        <w:t>校园一键报警装置</w:t>
      </w:r>
      <w:r>
        <w:rPr>
          <w:rFonts w:hint="eastAsia" w:ascii="宋体" w:hAnsi="宋体" w:eastAsia="宋体" w:cs="宋体"/>
          <w:color w:val="666666"/>
          <w:sz w:val="36"/>
          <w:szCs w:val="36"/>
          <w:lang w:val="en-US" w:eastAsia="zh-CN"/>
        </w:rPr>
        <w:t>询价文件</w:t>
      </w:r>
    </w:p>
    <w:p>
      <w:pPr>
        <w:rPr>
          <w:rFonts w:hint="eastAsia"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项目编号（采购编号、合同编号）：</w:t>
      </w:r>
      <w:r>
        <w:rPr>
          <w:rFonts w:hint="eastAsia" w:ascii="宋体" w:hAnsi="宋体" w:cs="宋体"/>
          <w:color w:val="666666"/>
          <w:sz w:val="30"/>
          <w:szCs w:val="30"/>
          <w:lang w:val="en-US" w:eastAsia="zh-CN"/>
        </w:rPr>
        <w:t>XAC2024003</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2024</w:t>
      </w:r>
      <w:r>
        <w:rPr>
          <w:rFonts w:hint="eastAsia" w:ascii="宋体" w:hAnsi="宋体" w:eastAsia="宋体" w:cs="宋体"/>
          <w:color w:val="666666"/>
          <w:kern w:val="0"/>
          <w:sz w:val="28"/>
          <w:szCs w:val="28"/>
          <w:lang w:val="en-US" w:eastAsia="zh-CN" w:bidi="ar"/>
        </w:rPr>
        <w:t>年</w:t>
      </w:r>
      <w:r>
        <w:rPr>
          <w:rFonts w:hint="eastAsia"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 xml:space="preserve">月   </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 xml:space="preserve"> </w:t>
      </w:r>
      <w:r>
        <w:rPr>
          <w:rFonts w:hint="eastAsia" w:ascii="宋体" w:hAnsi="宋体" w:eastAsia="宋体" w:cs="宋体"/>
          <w:color w:val="666666"/>
          <w:kern w:val="0"/>
          <w:sz w:val="28"/>
          <w:szCs w:val="28"/>
          <w:lang w:val="en-US" w:eastAsia="zh-CN" w:bidi="ar"/>
        </w:rPr>
        <w:t>赤峰学院</w:t>
      </w:r>
      <w:r>
        <w:rPr>
          <w:rFonts w:hint="eastAsia" w:cs="宋体"/>
          <w:color w:val="666666"/>
          <w:kern w:val="0"/>
          <w:sz w:val="28"/>
          <w:szCs w:val="28"/>
          <w:lang w:val="en-US" w:eastAsia="zh-CN" w:bidi="ar"/>
        </w:rPr>
        <w:t>校园安全管理处校园一键报警装置</w:t>
      </w:r>
      <w:r>
        <w:rPr>
          <w:rFonts w:hint="eastAsia" w:ascii="宋体" w:hAnsi="宋体" w:eastAsia="宋体" w:cs="宋体"/>
          <w:color w:val="666666"/>
          <w:kern w:val="0"/>
          <w:sz w:val="28"/>
          <w:szCs w:val="28"/>
          <w:lang w:val="en-US" w:eastAsia="zh-CN" w:bidi="ar"/>
        </w:rPr>
        <w:t>询价采购公告</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w:t>
      </w:r>
      <w:r>
        <w:rPr>
          <w:rFonts w:hint="eastAsia" w:ascii="宋体" w:hAnsi="宋体" w:cs="宋体"/>
          <w:color w:val="666666"/>
          <w:kern w:val="0"/>
          <w:sz w:val="28"/>
          <w:szCs w:val="28"/>
          <w:lang w:val="en-US" w:eastAsia="zh-CN" w:bidi="ar"/>
        </w:rPr>
        <w:t>校园安全管理处</w:t>
      </w:r>
      <w:r>
        <w:rPr>
          <w:rFonts w:hint="eastAsia" w:ascii="宋体" w:hAnsi="宋体" w:eastAsia="宋体" w:cs="宋体"/>
          <w:color w:val="666666"/>
          <w:kern w:val="0"/>
          <w:sz w:val="28"/>
          <w:szCs w:val="28"/>
          <w:lang w:val="en-US" w:eastAsia="zh-CN" w:bidi="ar"/>
        </w:rPr>
        <w:t>采用询价方式采购</w:t>
      </w:r>
      <w:r>
        <w:rPr>
          <w:rFonts w:hint="eastAsia" w:ascii="宋体" w:hAnsi="宋体" w:cs="宋体"/>
          <w:color w:val="666666"/>
          <w:kern w:val="0"/>
          <w:sz w:val="28"/>
          <w:szCs w:val="28"/>
          <w:lang w:val="en-US" w:eastAsia="zh-CN" w:bidi="ar"/>
        </w:rPr>
        <w:t>校园一键报警装置</w:t>
      </w:r>
      <w:r>
        <w:rPr>
          <w:rFonts w:hint="eastAsia" w:ascii="宋体" w:hAnsi="宋体" w:eastAsia="宋体" w:cs="宋体"/>
          <w:color w:val="666666"/>
          <w:kern w:val="0"/>
          <w:sz w:val="28"/>
          <w:szCs w:val="28"/>
          <w:lang w:val="en-US" w:eastAsia="zh-CN" w:bidi="ar"/>
        </w:rPr>
        <w:t>,欢迎符合资格条件的供应商前来报名参加。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3"/>
        <w:widowControl/>
        <w:spacing w:before="0" w:beforeAutospacing="0" w:after="0" w:afterAutospacing="0" w:line="540" w:lineRule="atLeast"/>
        <w:ind w:firstLine="555"/>
        <w:rPr>
          <w:rFonts w:hint="default"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项目名称：赤峰学院</w:t>
      </w:r>
      <w:r>
        <w:rPr>
          <w:rFonts w:hint="eastAsia" w:ascii="宋体" w:hAnsi="宋体" w:cs="宋体"/>
          <w:color w:val="666666"/>
          <w:kern w:val="0"/>
          <w:sz w:val="28"/>
          <w:szCs w:val="28"/>
          <w:lang w:val="en-US" w:eastAsia="zh-CN" w:bidi="ar"/>
        </w:rPr>
        <w:t>校园安全管理处校园一键报警装置</w:t>
      </w:r>
    </w:p>
    <w:p>
      <w:pPr>
        <w:ind w:firstLine="600" w:firstLineChars="200"/>
        <w:rPr>
          <w:rFonts w:hint="default" w:ascii="宋体" w:hAnsi="宋体" w:eastAsia="宋体" w:cs="宋体"/>
          <w:color w:val="666666"/>
          <w:kern w:val="0"/>
          <w:sz w:val="28"/>
          <w:szCs w:val="28"/>
          <w:lang w:val="en-US" w:eastAsia="zh-CN" w:bidi="ar"/>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lang w:val="en-US" w:eastAsia="zh-CN"/>
        </w:rPr>
        <w:t>XAC2024003</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w:t>
      </w:r>
      <w:r>
        <w:rPr>
          <w:rFonts w:hint="eastAsia" w:ascii="宋体" w:hAnsi="宋体" w:cs="宋体"/>
          <w:color w:val="666666"/>
          <w:kern w:val="0"/>
          <w:sz w:val="28"/>
          <w:szCs w:val="28"/>
          <w:lang w:val="en-US" w:eastAsia="zh-CN" w:bidi="ar"/>
        </w:rPr>
        <w:t>70000.00</w:t>
      </w:r>
      <w:r>
        <w:rPr>
          <w:rFonts w:hint="eastAsia" w:ascii="宋体" w:hAnsi="宋体" w:eastAsia="宋体" w:cs="宋体"/>
          <w:color w:val="666666"/>
          <w:kern w:val="0"/>
          <w:sz w:val="28"/>
          <w:szCs w:val="28"/>
          <w:lang w:val="en-US" w:eastAsia="zh-CN" w:bidi="ar"/>
        </w:rPr>
        <w:t>元（</w:t>
      </w:r>
      <w:r>
        <w:rPr>
          <w:rFonts w:hint="eastAsia" w:ascii="宋体" w:hAnsi="宋体" w:cs="宋体"/>
          <w:color w:val="666666"/>
          <w:kern w:val="0"/>
          <w:sz w:val="28"/>
          <w:szCs w:val="28"/>
          <w:lang w:val="en-US" w:eastAsia="zh-CN" w:bidi="ar"/>
        </w:rPr>
        <w:t>柒万元</w:t>
      </w:r>
      <w:r>
        <w:rPr>
          <w:rFonts w:hint="eastAsia" w:ascii="宋体" w:hAnsi="宋体" w:eastAsia="宋体" w:cs="宋体"/>
          <w:color w:val="666666"/>
          <w:kern w:val="0"/>
          <w:sz w:val="28"/>
          <w:szCs w:val="28"/>
          <w:lang w:val="en-US" w:eastAsia="zh-CN" w:bidi="ar"/>
        </w:rPr>
        <w:t>人民币）</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采购需求：具体技术参数要求详见下列清单。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838"/>
        <w:gridCol w:w="5030"/>
        <w:gridCol w:w="719"/>
        <w:gridCol w:w="768"/>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序号</w:t>
            </w:r>
          </w:p>
        </w:tc>
        <w:tc>
          <w:tcPr>
            <w:tcW w:w="49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名称</w:t>
            </w:r>
          </w:p>
        </w:tc>
        <w:tc>
          <w:tcPr>
            <w:tcW w:w="2951" w:type="pct"/>
            <w:noWrap w:val="0"/>
            <w:vAlign w:val="top"/>
          </w:tcPr>
          <w:p>
            <w:pPr>
              <w:pStyle w:val="3"/>
              <w:widowControl/>
              <w:spacing w:before="0" w:beforeAutospacing="0" w:after="0" w:afterAutospacing="0" w:line="540" w:lineRule="atLeast"/>
              <w:ind w:firstLine="2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技术要求</w:t>
            </w:r>
          </w:p>
        </w:tc>
        <w:tc>
          <w:tcPr>
            <w:tcW w:w="42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单位</w:t>
            </w:r>
          </w:p>
        </w:tc>
        <w:tc>
          <w:tcPr>
            <w:tcW w:w="450"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数量</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w:t>
            </w:r>
          </w:p>
        </w:tc>
        <w:tc>
          <w:tcPr>
            <w:tcW w:w="49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一键求助报警设备</w:t>
            </w:r>
          </w:p>
        </w:tc>
        <w:tc>
          <w:tcPr>
            <w:tcW w:w="2951" w:type="pct"/>
            <w:noWrap w:val="0"/>
            <w:vAlign w:val="top"/>
          </w:tcPr>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采用嵌入式Linux操作系统, 高性能嵌入式SOC处理器，系统运行稳定可靠；</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支持网络自适应、音视频自适应功能，在网络丢包情况下，实现音视频低延迟；</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支持语音对讲功能，内置高灵敏度麦克风，可实现5米对讲；</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支持视频采集功能，内置200W高清彩色摄像头，实现全天候24小时实时监控；</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支持音频扩展，3.5mm标准音频接口可外接有源音箱和麦克风；</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支持防水、抗电磁干扰、防拆、防暴、防雷击，防撬锁等功能；</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支持红外补光，支持语音对讲、广播；</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18"/>
                <w:szCs w:val="18"/>
                <w:lang w:val="en-US" w:eastAsia="zh-CN" w:bidi="ar"/>
              </w:rPr>
              <w:t>支持双网口；IP等级：IP65</w:t>
            </w:r>
          </w:p>
        </w:tc>
        <w:tc>
          <w:tcPr>
            <w:tcW w:w="42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台</w:t>
            </w:r>
          </w:p>
        </w:tc>
        <w:tc>
          <w:tcPr>
            <w:tcW w:w="450"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3</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w:t>
            </w:r>
          </w:p>
        </w:tc>
        <w:tc>
          <w:tcPr>
            <w:tcW w:w="49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报警设备环境球机</w:t>
            </w:r>
          </w:p>
        </w:tc>
        <w:tc>
          <w:tcPr>
            <w:tcW w:w="2951" w:type="pct"/>
            <w:noWrap w:val="0"/>
            <w:vAlign w:val="top"/>
          </w:tcPr>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支持1/2.8" 400万23倍光学变焦镜头，采用高效补光阵列，低功耗，红外补光150 m，白光补光30m</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支持区域入侵侦测、越界侦测、进入区域侦测和离开区域侦等智能侦测并联动跟随</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适用于交通道路，广场、公园、出入口、园区周界等场景</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支持深度学习算法，提供精准的人车分类侦测、报警、联动球机镜头进行快速查看</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支持切换为人脸抓拍模式，最大同时抓拍5张人脸</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 xml:space="preserve"> 内置加热玻璃，有效除雾</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支持最大2560×1440@30fps高清画面输出</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支持超低照度，0.005 Lux @F1.5（彩色），0.001 Lux @F1.5（黑白），0 Lux with IR</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支持23倍光学变倍，16倍数字变倍</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支持海康SDK，视图库，OTAP，ONVIF，ISAPI，GB/T28181，ISUP，萤石</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支持两进一出报警、一进一出音频、最大支持512G microSD卡存储</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IP66，符合GB/T17626.2/3/4/5/6四级标准</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p>
        </w:tc>
        <w:tc>
          <w:tcPr>
            <w:tcW w:w="42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台</w:t>
            </w:r>
          </w:p>
        </w:tc>
        <w:tc>
          <w:tcPr>
            <w:tcW w:w="4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3</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w:t>
            </w:r>
          </w:p>
        </w:tc>
        <w:tc>
          <w:tcPr>
            <w:tcW w:w="49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4口-工业交换机</w:t>
            </w:r>
          </w:p>
        </w:tc>
        <w:tc>
          <w:tcPr>
            <w:tcW w:w="2951" w:type="pct"/>
            <w:noWrap w:val="0"/>
            <w:vAlign w:val="top"/>
          </w:tcPr>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8个10/100/1000Base-T以太网口，支持PoE+供电，单端口最大功率达30W</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2个独立千兆SFP光口</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特有的CPU保护策略，设备安全防攻击</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支持RLDP，快速检测网络故障，为网络安全保驾护航</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支持全网管，设备管理轻松易操作</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无风扇，自然散热，静音且节能。</w:t>
            </w:r>
          </w:p>
        </w:tc>
        <w:tc>
          <w:tcPr>
            <w:tcW w:w="42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台</w:t>
            </w:r>
          </w:p>
        </w:tc>
        <w:tc>
          <w:tcPr>
            <w:tcW w:w="4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3</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w:t>
            </w:r>
          </w:p>
        </w:tc>
        <w:tc>
          <w:tcPr>
            <w:tcW w:w="49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光模块</w:t>
            </w:r>
          </w:p>
        </w:tc>
        <w:tc>
          <w:tcPr>
            <w:tcW w:w="2951" w:type="pct"/>
            <w:noWrap w:val="0"/>
            <w:vAlign w:val="top"/>
          </w:tcPr>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千兆多模双纤300米商业级(850nm)</w:t>
            </w:r>
          </w:p>
        </w:tc>
        <w:tc>
          <w:tcPr>
            <w:tcW w:w="42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对</w:t>
            </w:r>
          </w:p>
        </w:tc>
        <w:tc>
          <w:tcPr>
            <w:tcW w:w="4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3</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5</w:t>
            </w:r>
          </w:p>
        </w:tc>
        <w:tc>
          <w:tcPr>
            <w:tcW w:w="49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光纤熔纤盒</w:t>
            </w:r>
          </w:p>
        </w:tc>
        <w:tc>
          <w:tcPr>
            <w:tcW w:w="2951" w:type="pct"/>
            <w:noWrap w:val="0"/>
            <w:vAlign w:val="top"/>
          </w:tcPr>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适用芯数：光纤熔接盒适用于单芯或多芯光纤的熔接。适用光纤类型：光纤熔接盒可以支持不同类型的光纤，如SM(ITU-T G.652 &amp; G.657)、MM(ITU-T G.651)、DS(ITU-T G.653)、NZDS(ITU-T G.655)等。</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适用光纤直径：光纤熔接盒可以处理不同直径的光纤，一般范围在0.25~3.0mm。</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光纤放置与切割长度：光纤熔接盒可以容纳特定长度的光纤，涂覆层的放置长度一般在0.125~1mm，切割长度一般在8~16mm。</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熔接模式：光纤熔接盒可以预设多种熔接模式，如预设45种熔接模式，最大可达128种熔接模式。</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典型熔接损耗：光纤熔接盒的熔接损耗是一个重要的性能指标，如SM类型的光纤熔接损耗为0.02dB，MM类型的光纤熔接损耗为0.01dB等。</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回波损耗：光纤熔接盒的回波损耗也是一个重要的性能指标，一般要求大于60dB。</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熔接时间：光纤熔接盒的熔接时间也是一个重要的性能指标，如标准熔接时间为8秒，Quick模式下为7秒。</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熔接长度估计：光纤熔接盒可以估计熔接长度，一般在20~60mm之间。</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加热器/加热时间：光纤熔接盒的加热器可以预设加热模式，典型加热时间为13秒。</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熔接结果储存：光纤熔接盒可以储存最新的熔接结果，一般可以储存2000个记录。</w:t>
            </w:r>
          </w:p>
        </w:tc>
        <w:tc>
          <w:tcPr>
            <w:tcW w:w="42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个</w:t>
            </w:r>
          </w:p>
        </w:tc>
        <w:tc>
          <w:tcPr>
            <w:tcW w:w="4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3</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6</w:t>
            </w:r>
          </w:p>
        </w:tc>
        <w:tc>
          <w:tcPr>
            <w:tcW w:w="49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光纤跳线</w:t>
            </w:r>
          </w:p>
        </w:tc>
        <w:tc>
          <w:tcPr>
            <w:tcW w:w="2951" w:type="pct"/>
            <w:noWrap w:val="0"/>
            <w:vAlign w:val="top"/>
          </w:tcPr>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跳线：1. 接口类型：LC （Lucent Connector）是一种小型的光纤连接器，常用于光纤跳线和光纤模块之间的连接。2.纠缠度：表示光缆的纠缠程度，一般有低纠缠标度，准纠缠度和高纠缠度可选。</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3. 光纤类型：多模光纤一般使用OM3或</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OM4级别的光纤，其光纤芯数一般为</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50/125um=62.5/125um.</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4. 长度：多模万兆跳线的长度一般有不同的选项可供选择，如1米、2米、3米等，根实际需求进行选择。</w:t>
            </w:r>
          </w:p>
        </w:tc>
        <w:tc>
          <w:tcPr>
            <w:tcW w:w="42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条</w:t>
            </w:r>
          </w:p>
        </w:tc>
        <w:tc>
          <w:tcPr>
            <w:tcW w:w="4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3</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w:t>
            </w:r>
          </w:p>
        </w:tc>
        <w:tc>
          <w:tcPr>
            <w:tcW w:w="49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时间同步器</w:t>
            </w:r>
          </w:p>
        </w:tc>
        <w:tc>
          <w:tcPr>
            <w:tcW w:w="2951" w:type="pct"/>
            <w:noWrap w:val="0"/>
            <w:vAlign w:val="top"/>
          </w:tcPr>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产品功能</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北斗、GPS(可选GLONASS)双参卫星时间源，可作为一级时间服务器;支持IRIG-B(DC)码、1PPS+TOD、NTP、PTP时间源输入;支持“多源判决"算法以实现时间源防误:</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高准确度:相对UTC时间准确度优于50ns;</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高守时性能:恒温晶振优于1us/h，铷钟优于0.1us/h，温补晶振优于55us/h(24小时);网络接口可选:2/4/6/8;</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可选配PTP接口;</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可选配TTL、RS-422/485、RS-232、光纤、空接点、PTP等信号接口(输出信号IRIG-B(DC)码、脉冲、串行口报文、DCF77可选);可选配高安全性NTP/SNTP网络接口(私有网络协议栈、静态内存分配);网络接口物理隔离，可配置IP;</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支持NTP时间源，可级联构成多级授时网络;</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支持NTP v1.v2.v3&amp;V4(RFC1119&amp;1305)、SNTP(RFC2030);</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支持SSH,SSL,SCPSNMPCustomMIB,HTTPS,Telnet;</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兼容IPv6和IPv4协议;</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支持10000条日志记录功能</w:t>
            </w:r>
          </w:p>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支持时间同步管理功能，配合管理系统实现设备工况在线管理;支持时间同步监测功能，配合管理系统实现时间同步业务闭环管理。支持双电源供电，110V或220V交直流供电电源。</w:t>
            </w:r>
          </w:p>
        </w:tc>
        <w:tc>
          <w:tcPr>
            <w:tcW w:w="42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项</w:t>
            </w:r>
          </w:p>
        </w:tc>
        <w:tc>
          <w:tcPr>
            <w:tcW w:w="4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1</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283"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8</w:t>
            </w:r>
          </w:p>
        </w:tc>
        <w:tc>
          <w:tcPr>
            <w:tcW w:w="491" w:type="pct"/>
            <w:noWrap w:val="0"/>
            <w:vAlign w:val="top"/>
          </w:tcPr>
          <w:p>
            <w:pPr>
              <w:pStyle w:val="3"/>
              <w:widowControl/>
              <w:spacing w:before="0" w:beforeAutospacing="0" w:after="0" w:afterAutospacing="0" w:line="540" w:lineRule="atLeast"/>
              <w:rPr>
                <w:rFonts w:hint="default" w:ascii="宋体" w:hAnsi="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室外监控防水箱</w:t>
            </w:r>
          </w:p>
        </w:tc>
        <w:tc>
          <w:tcPr>
            <w:tcW w:w="2951" w:type="pct"/>
            <w:noWrap w:val="0"/>
            <w:vAlign w:val="top"/>
          </w:tcPr>
          <w:p>
            <w:pPr>
              <w:pStyle w:val="3"/>
              <w:widowControl/>
              <w:spacing w:before="0" w:beforeAutospacing="0" w:after="0" w:afterAutospacing="0" w:line="540" w:lineRule="atLeast"/>
              <w:ind w:firstLine="180" w:firstLineChars="100"/>
              <w:rPr>
                <w:rFonts w:hint="eastAsia" w:ascii="宋体" w:hAnsi="宋体" w:eastAsia="宋体" w:cs="宋体"/>
                <w:color w:val="666666"/>
                <w:kern w:val="0"/>
                <w:sz w:val="18"/>
                <w:szCs w:val="18"/>
                <w:lang w:val="en-US" w:eastAsia="zh-CN" w:bidi="ar"/>
              </w:rPr>
            </w:pPr>
            <w:r>
              <w:rPr>
                <w:rFonts w:hint="eastAsia" w:ascii="宋体" w:hAnsi="宋体" w:eastAsia="宋体" w:cs="宋体"/>
                <w:color w:val="666666"/>
                <w:kern w:val="0"/>
                <w:sz w:val="18"/>
                <w:szCs w:val="18"/>
                <w:lang w:val="en-US" w:eastAsia="zh-CN" w:bidi="ar"/>
              </w:rPr>
              <w:t>400*280*350</w:t>
            </w:r>
            <w:r>
              <w:rPr>
                <w:rFonts w:hint="default" w:ascii="宋体" w:hAnsi="宋体" w:cs="宋体"/>
                <w:color w:val="666666"/>
                <w:kern w:val="0"/>
                <w:sz w:val="18"/>
                <w:szCs w:val="18"/>
                <w:lang w:val="en-US" w:eastAsia="zh-CN" w:bidi="ar"/>
              </w:rPr>
              <w:t>mm,</w:t>
            </w:r>
            <w:r>
              <w:rPr>
                <w:rFonts w:hint="eastAsia" w:ascii="宋体" w:hAnsi="宋体" w:cs="宋体"/>
                <w:color w:val="666666"/>
                <w:kern w:val="0"/>
                <w:sz w:val="18"/>
                <w:szCs w:val="18"/>
                <w:lang w:val="en-US" w:eastAsia="zh-CN" w:bidi="ar"/>
              </w:rPr>
              <w:t xml:space="preserve"> 铁质</w:t>
            </w:r>
          </w:p>
        </w:tc>
        <w:tc>
          <w:tcPr>
            <w:tcW w:w="42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个</w:t>
            </w:r>
          </w:p>
        </w:tc>
        <w:tc>
          <w:tcPr>
            <w:tcW w:w="4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3</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9</w:t>
            </w:r>
          </w:p>
        </w:tc>
        <w:tc>
          <w:tcPr>
            <w:tcW w:w="491" w:type="pct"/>
            <w:noWrap w:val="0"/>
            <w:vAlign w:val="top"/>
          </w:tcPr>
          <w:p>
            <w:pPr>
              <w:pStyle w:val="3"/>
              <w:widowControl/>
              <w:spacing w:before="0" w:beforeAutospacing="0" w:after="0" w:afterAutospacing="0" w:line="540" w:lineRule="atLeast"/>
              <w:rPr>
                <w:rFonts w:hint="default" w:ascii="宋体" w:hAnsi="宋体" w:cs="宋体"/>
                <w:color w:val="666666"/>
                <w:kern w:val="0"/>
                <w:sz w:val="24"/>
                <w:szCs w:val="24"/>
                <w:lang w:val="en-US" w:eastAsia="zh-CN" w:bidi="ar"/>
              </w:rPr>
            </w:pPr>
            <w:r>
              <w:rPr>
                <w:rFonts w:hint="eastAsia" w:ascii="宋体" w:hAnsi="宋体" w:cs="宋体"/>
                <w:color w:val="666666"/>
                <w:kern w:val="0"/>
                <w:sz w:val="24"/>
                <w:szCs w:val="24"/>
                <w:lang w:val="en-US" w:eastAsia="zh-CN" w:bidi="ar"/>
              </w:rPr>
              <w:t>辅料</w:t>
            </w:r>
          </w:p>
        </w:tc>
        <w:tc>
          <w:tcPr>
            <w:tcW w:w="295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辅料：插排，插座，六类网线，1.5铜线等等</w:t>
            </w:r>
          </w:p>
        </w:tc>
        <w:tc>
          <w:tcPr>
            <w:tcW w:w="421"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批</w:t>
            </w:r>
          </w:p>
        </w:tc>
        <w:tc>
          <w:tcPr>
            <w:tcW w:w="450" w:type="pct"/>
            <w:noWrap w:val="0"/>
            <w:vAlign w:val="top"/>
          </w:tcPr>
          <w:p>
            <w:pPr>
              <w:pStyle w:val="3"/>
              <w:widowControl/>
              <w:spacing w:before="0" w:beforeAutospacing="0" w:after="0" w:afterAutospacing="0" w:line="540" w:lineRule="atLeast"/>
              <w:rPr>
                <w:rFonts w:hint="default"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1</w:t>
            </w:r>
          </w:p>
        </w:tc>
        <w:tc>
          <w:tcPr>
            <w:tcW w:w="401"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tc>
      </w:tr>
    </w:tbl>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供货期：签订合同后</w:t>
      </w:r>
      <w:r>
        <w:rPr>
          <w:rFonts w:hint="eastAsia" w:ascii="宋体" w:hAnsi="宋体" w:cs="宋体"/>
          <w:color w:val="666666"/>
          <w:kern w:val="0"/>
          <w:sz w:val="28"/>
          <w:szCs w:val="28"/>
          <w:lang w:val="en-US" w:eastAsia="zh-CN" w:bidi="ar"/>
        </w:rPr>
        <w:t>10</w:t>
      </w:r>
      <w:r>
        <w:rPr>
          <w:rFonts w:hint="eastAsia" w:ascii="宋体" w:hAnsi="宋体" w:eastAsia="宋体" w:cs="宋体"/>
          <w:color w:val="666666"/>
          <w:kern w:val="0"/>
          <w:sz w:val="28"/>
          <w:szCs w:val="28"/>
          <w:lang w:val="en-US" w:eastAsia="zh-CN" w:bidi="ar"/>
        </w:rPr>
        <w:t>工作日内。</w:t>
      </w:r>
    </w:p>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质保期：验收合格之日起</w:t>
      </w:r>
      <w:r>
        <w:rPr>
          <w:rFonts w:hint="eastAsia" w:ascii="宋体" w:hAnsi="宋体" w:cs="宋体"/>
          <w:color w:val="666666"/>
          <w:kern w:val="0"/>
          <w:sz w:val="28"/>
          <w:szCs w:val="28"/>
          <w:lang w:val="en-US" w:eastAsia="zh-CN" w:bidi="ar"/>
        </w:rPr>
        <w:t>1</w:t>
      </w:r>
      <w:r>
        <w:rPr>
          <w:rFonts w:hint="eastAsia" w:ascii="宋体" w:hAnsi="宋体" w:eastAsia="宋体" w:cs="宋体"/>
          <w:color w:val="666666"/>
          <w:kern w:val="0"/>
          <w:sz w:val="28"/>
          <w:szCs w:val="28"/>
          <w:lang w:val="en-US" w:eastAsia="zh-CN" w:bidi="ar"/>
        </w:rPr>
        <w:t>年。</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w:t>
      </w:r>
      <w:r>
        <w:rPr>
          <w:rFonts w:hint="eastAsia" w:ascii="宋体" w:hAnsi="宋体" w:cs="宋体"/>
          <w:color w:val="666666"/>
          <w:kern w:val="0"/>
          <w:sz w:val="28"/>
          <w:szCs w:val="28"/>
          <w:lang w:val="en-US" w:eastAsia="zh-CN" w:bidi="ar"/>
        </w:rPr>
        <w:t>办理国库集中支付</w:t>
      </w:r>
      <w:r>
        <w:rPr>
          <w:rFonts w:hint="eastAsia" w:ascii="宋体" w:hAnsi="宋体" w:eastAsia="宋体" w:cs="宋体"/>
          <w:color w:val="666666"/>
          <w:kern w:val="0"/>
          <w:sz w:val="28"/>
          <w:szCs w:val="28"/>
          <w:lang w:val="en-US" w:eastAsia="zh-CN" w:bidi="ar"/>
        </w:rPr>
        <w:t>乙方全部合同款</w:t>
      </w:r>
      <w:r>
        <w:rPr>
          <w:rFonts w:hint="eastAsia" w:ascii="宋体" w:hAnsi="宋体" w:cs="宋体"/>
          <w:color w:val="666666"/>
          <w:kern w:val="0"/>
          <w:sz w:val="28"/>
          <w:szCs w:val="28"/>
          <w:lang w:val="en-US" w:eastAsia="zh-CN" w:bidi="ar"/>
        </w:rPr>
        <w:t>（以财政批准国库集中支付时间为准）</w:t>
      </w:r>
      <w:r>
        <w:rPr>
          <w:rFonts w:hint="eastAsia" w:ascii="宋体" w:hAnsi="宋体" w:eastAsia="宋体" w:cs="宋体"/>
          <w:color w:val="666666"/>
          <w:kern w:val="0"/>
          <w:sz w:val="28"/>
          <w:szCs w:val="28"/>
          <w:lang w:val="en-US" w:eastAsia="zh-CN" w:bidi="ar"/>
        </w:rPr>
        <w:t>。</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时间：</w:t>
      </w:r>
      <w:r>
        <w:rPr>
          <w:rFonts w:hint="eastAsia" w:ascii="宋体" w:hAnsi="宋体" w:cs="宋体"/>
          <w:color w:val="666666"/>
          <w:kern w:val="0"/>
          <w:sz w:val="28"/>
          <w:szCs w:val="28"/>
          <w:lang w:val="en-US" w:eastAsia="zh-CN" w:bidi="ar"/>
        </w:rPr>
        <w:t>2024</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25</w:t>
      </w:r>
      <w:r>
        <w:rPr>
          <w:rFonts w:hint="eastAsia" w:ascii="宋体" w:hAnsi="宋体" w:eastAsia="宋体" w:cs="宋体"/>
          <w:color w:val="666666"/>
          <w:kern w:val="0"/>
          <w:sz w:val="28"/>
          <w:szCs w:val="28"/>
          <w:lang w:val="en-US" w:eastAsia="zh-CN" w:bidi="ar"/>
        </w:rPr>
        <w:t>日至</w:t>
      </w:r>
      <w:r>
        <w:rPr>
          <w:rFonts w:hint="eastAsia" w:ascii="宋体" w:hAnsi="宋体" w:cs="宋体"/>
          <w:color w:val="666666"/>
          <w:kern w:val="0"/>
          <w:sz w:val="28"/>
          <w:szCs w:val="28"/>
          <w:lang w:val="en-US" w:eastAsia="zh-CN" w:bidi="ar"/>
        </w:rPr>
        <w:t>2024</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27</w:t>
      </w:r>
      <w:r>
        <w:rPr>
          <w:rFonts w:hint="eastAsia" w:ascii="宋体" w:hAnsi="宋体" w:eastAsia="宋体" w:cs="宋体"/>
          <w:color w:val="666666"/>
          <w:kern w:val="0"/>
          <w:sz w:val="28"/>
          <w:szCs w:val="28"/>
          <w:lang w:val="en-US" w:eastAsia="zh-CN" w:bidi="ar"/>
        </w:rPr>
        <w:t>日，每天上午8:30至11:00，下午14:30至17:00。</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博远楼</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105</w:t>
      </w:r>
      <w:r>
        <w:rPr>
          <w:rFonts w:hint="eastAsia" w:ascii="宋体" w:hAnsi="宋体" w:eastAsia="宋体" w:cs="宋体"/>
          <w:color w:val="666666"/>
          <w:kern w:val="0"/>
          <w:sz w:val="28"/>
          <w:szCs w:val="28"/>
          <w:lang w:val="en-US" w:eastAsia="zh-CN" w:bidi="ar"/>
        </w:rPr>
        <w:t>室</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单位负责人为同一人或者存在直接控股、管理关系供应商，不得参加同一项下的政府采购活动；出具“天眼查”或“企查查”生成的报告（查关联单位）。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提交投标报价截止时间</w:t>
      </w:r>
      <w:r>
        <w:rPr>
          <w:rFonts w:hint="eastAsia" w:ascii="宋体" w:hAnsi="宋体" w:cs="宋体"/>
          <w:color w:val="666666"/>
          <w:kern w:val="0"/>
          <w:sz w:val="28"/>
          <w:szCs w:val="28"/>
          <w:lang w:val="en-US" w:eastAsia="zh-CN" w:bidi="ar"/>
        </w:rPr>
        <w:t>暨</w:t>
      </w:r>
      <w:r>
        <w:rPr>
          <w:rFonts w:hint="eastAsia" w:ascii="宋体" w:hAnsi="宋体" w:eastAsia="宋体" w:cs="宋体"/>
          <w:color w:val="666666"/>
          <w:kern w:val="0"/>
          <w:sz w:val="28"/>
          <w:szCs w:val="28"/>
          <w:lang w:val="en-US" w:eastAsia="zh-CN" w:bidi="ar"/>
        </w:rPr>
        <w:t>开标时间：</w:t>
      </w:r>
      <w:r>
        <w:rPr>
          <w:rFonts w:hint="eastAsia" w:ascii="宋体" w:hAnsi="宋体" w:cs="宋体"/>
          <w:color w:val="666666"/>
          <w:kern w:val="0"/>
          <w:sz w:val="28"/>
          <w:szCs w:val="28"/>
          <w:lang w:val="en-US" w:eastAsia="zh-CN" w:bidi="ar"/>
        </w:rPr>
        <w:t>2024</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29</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整</w:t>
      </w:r>
    </w:p>
    <w:p>
      <w:pPr>
        <w:pStyle w:val="3"/>
        <w:widowControl/>
        <w:spacing w:before="0" w:beforeAutospacing="0" w:after="0" w:afterAutospacing="0" w:line="540" w:lineRule="atLeast"/>
        <w:ind w:firstLine="555"/>
        <w:rPr>
          <w:rFonts w:hint="default" w:ascii="宋体" w:hAnsi="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博远楼校安处会议室</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校园安全管理处一键报警装置</w:t>
      </w:r>
      <w:r>
        <w:rPr>
          <w:rFonts w:hint="eastAsia" w:ascii="宋体" w:hAnsi="宋体" w:eastAsia="宋体" w:cs="宋体"/>
          <w:color w:val="666666"/>
          <w:kern w:val="0"/>
          <w:sz w:val="28"/>
          <w:szCs w:val="28"/>
          <w:lang w:val="en-US" w:eastAsia="zh-CN" w:bidi="ar"/>
        </w:rPr>
        <w:t>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地址：赤峰市红山区迎宾路1号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冯朔</w:t>
      </w:r>
      <w:r>
        <w:rPr>
          <w:rFonts w:hint="eastAsia" w:ascii="宋体" w:hAnsi="宋体" w:eastAsia="宋体" w:cs="宋体"/>
          <w:color w:val="666666"/>
          <w:kern w:val="0"/>
          <w:sz w:val="28"/>
          <w:szCs w:val="28"/>
          <w:lang w:val="en-US" w:eastAsia="zh-CN" w:bidi="ar"/>
        </w:rPr>
        <w:t xml:space="preserve">  联系电话：</w:t>
      </w:r>
      <w:r>
        <w:rPr>
          <w:rFonts w:hint="eastAsia" w:ascii="宋体" w:hAnsi="宋体" w:cs="宋体"/>
          <w:color w:val="666666"/>
          <w:kern w:val="0"/>
          <w:sz w:val="28"/>
          <w:szCs w:val="28"/>
          <w:lang w:val="en-US" w:eastAsia="zh-CN" w:bidi="ar"/>
        </w:rPr>
        <w:t>0476-8300116</w:t>
      </w:r>
      <w:r>
        <w:rPr>
          <w:rFonts w:hint="eastAsia" w:ascii="宋体" w:hAnsi="宋体" w:eastAsia="宋体" w:cs="宋体"/>
          <w:color w:val="666666"/>
          <w:kern w:val="0"/>
          <w:sz w:val="28"/>
          <w:szCs w:val="28"/>
          <w:lang w:val="en-US" w:eastAsia="zh-CN" w:bidi="ar"/>
        </w:rPr>
        <w:t>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3"/>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32"/>
          <w:szCs w:val="32"/>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eastAsia="宋体" w:cs="宋体"/>
          <w:color w:val="666666"/>
          <w:sz w:val="30"/>
          <w:szCs w:val="30"/>
          <w:lang w:val="en-US" w:eastAsia="zh-CN"/>
        </w:rPr>
        <w:t>项目单位名称（首字母）+年度+序号（如：001,002,003…）</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instrText xml:space="preserve"> INCLUDEPICTURE "D:\\其他\\WeChat Files\\wxid_f9p1zg0y8d9422\\FileStorage\\File\\"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instrText xml:space="preserve"> INCLUDEPICTURE "D:\\其他\\WeChat Files\\wxid_f9p1zg0y8d9422\\FileStorage\\File\\"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赤峰学院××××（项目单位名称+项目名称）询价报价表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项目编号：项目单位名称（首字母）+年度+序号（如：001,002,003</w:t>
      </w:r>
      <w:r>
        <w:rPr>
          <w:rFonts w:hint="default" w:ascii="Arial" w:hAnsi="Arial" w:cs="Arial"/>
          <w:color w:val="666666"/>
          <w:sz w:val="30"/>
          <w:szCs w:val="30"/>
          <w:lang w:val="en-US" w:eastAsia="zh-CN"/>
        </w:rPr>
        <w:t>…</w:t>
      </w:r>
      <w:r>
        <w:rPr>
          <w:rFonts w:hint="eastAsia"/>
          <w:color w:val="666666"/>
          <w:sz w:val="30"/>
          <w:szCs w:val="30"/>
          <w:lang w:val="en-US" w:eastAsia="zh-CN"/>
        </w:rPr>
        <w:t>）</w:t>
      </w:r>
    </w:p>
    <w:tbl>
      <w:tblPr>
        <w:tblStyle w:val="4"/>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品牌</w:t>
            </w:r>
          </w:p>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I3ZGE1OWFkZjljMTM0MDgzNDEwYWM2NTQzMWYifQ=="/>
  </w:docVars>
  <w:rsids>
    <w:rsidRoot w:val="00000000"/>
    <w:rsid w:val="018276FB"/>
    <w:rsid w:val="0DDA7292"/>
    <w:rsid w:val="0E0164BA"/>
    <w:rsid w:val="17706C03"/>
    <w:rsid w:val="192502B2"/>
    <w:rsid w:val="1BE76B03"/>
    <w:rsid w:val="1DBD1A57"/>
    <w:rsid w:val="1FA47700"/>
    <w:rsid w:val="241E3F25"/>
    <w:rsid w:val="2C253215"/>
    <w:rsid w:val="3025663B"/>
    <w:rsid w:val="339904F2"/>
    <w:rsid w:val="348A74E7"/>
    <w:rsid w:val="3A1219DE"/>
    <w:rsid w:val="42E303BC"/>
    <w:rsid w:val="4ED66C86"/>
    <w:rsid w:val="52253B13"/>
    <w:rsid w:val="556C4241"/>
    <w:rsid w:val="5B0D6F60"/>
    <w:rsid w:val="5DF27C7A"/>
    <w:rsid w:val="5E211A35"/>
    <w:rsid w:val="5EF41EF5"/>
    <w:rsid w:val="5F497D13"/>
    <w:rsid w:val="60CE77E7"/>
    <w:rsid w:val="61002A67"/>
    <w:rsid w:val="6ACB0C44"/>
    <w:rsid w:val="6CD209D6"/>
    <w:rsid w:val="714D3D25"/>
    <w:rsid w:val="72780225"/>
    <w:rsid w:val="75BB607F"/>
    <w:rsid w:val="76B17382"/>
    <w:rsid w:val="78B20E1E"/>
    <w:rsid w:val="79D15690"/>
    <w:rsid w:val="7B4F512D"/>
    <w:rsid w:val="7D7637C2"/>
    <w:rsid w:val="7DD8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4250</Words>
  <Characters>4921</Characters>
  <Lines>0</Lines>
  <Paragraphs>0</Paragraphs>
  <TotalTime>45</TotalTime>
  <ScaleCrop>false</ScaleCrop>
  <LinksUpToDate>false</LinksUpToDate>
  <CharactersWithSpaces>5327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cp:lastPrinted>2024-09-24T07:45:00Z</cp:lastPrinted>
  <dcterms:modified xsi:type="dcterms:W3CDTF">2024-09-25T01:12:22Z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C2D357AB3987461E8755D3AA1605BF4B_13</vt:lpwstr>
  </property>
</Properties>
</file>