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kern w:val="0"/>
          <w:sz w:val="32"/>
          <w:szCs w:val="32"/>
          <w:shd w:val="clear" w:color="auto" w:fill="FFFFFF"/>
        </w:rPr>
      </w:pPr>
      <w:bookmarkStart w:id="0" w:name="_GoBack"/>
      <w:bookmarkEnd w:id="0"/>
      <w:r>
        <w:rPr>
          <w:rFonts w:hint="eastAsia" w:ascii="黑体" w:hAnsi="黑体" w:eastAsia="黑体" w:cs="仿宋_GB2312"/>
          <w:kern w:val="0"/>
          <w:sz w:val="32"/>
          <w:szCs w:val="32"/>
          <w:shd w:val="clear" w:color="auto" w:fill="FFFFFF"/>
        </w:rPr>
        <w:t>附件1</w:t>
      </w:r>
    </w:p>
    <w:p>
      <w:pPr>
        <w:jc w:val="center"/>
        <w:rPr>
          <w:rFonts w:hint="eastAsia" w:ascii="方正小标宋简体" w:hAnsi="仿宋_GB2312" w:eastAsia="方正小标宋简体" w:cs="仿宋_GB2312"/>
          <w:kern w:val="0"/>
          <w:sz w:val="44"/>
          <w:szCs w:val="44"/>
          <w:shd w:val="clear" w:color="auto" w:fill="FFFFFF"/>
        </w:rPr>
      </w:pPr>
      <w:r>
        <w:rPr>
          <w:rFonts w:hint="eastAsia" w:ascii="方正小标宋简体" w:hAnsi="仿宋_GB2312" w:eastAsia="方正小标宋简体" w:cs="仿宋_GB2312"/>
          <w:kern w:val="0"/>
          <w:sz w:val="44"/>
          <w:szCs w:val="44"/>
          <w:shd w:val="clear" w:color="auto" w:fill="FFFFFF"/>
        </w:rPr>
        <w:t>赤峰学院采购代理机构评价考核表</w:t>
      </w:r>
    </w:p>
    <w:p>
      <w:pPr>
        <w:spacing w:line="56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代理机构名称：</w:t>
      </w:r>
    </w:p>
    <w:p>
      <w:pPr>
        <w:spacing w:line="560" w:lineRule="exac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委托项目名称：</w:t>
      </w:r>
      <w:r>
        <w:rPr>
          <w:rFonts w:hint="eastAsia" w:ascii="仿宋_GB2312" w:hAnsi="仿宋_GB2312" w:eastAsia="仿宋_GB2312" w:cs="仿宋_GB2312"/>
          <w:kern w:val="0"/>
          <w:sz w:val="28"/>
          <w:szCs w:val="28"/>
          <w:u w:val="single"/>
          <w:shd w:val="clear" w:color="auto" w:fill="FFFFFF"/>
        </w:rPr>
        <w:t xml:space="preserve"> </w:t>
      </w:r>
      <w:r>
        <w:rPr>
          <w:rFonts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或</w:t>
      </w:r>
      <w:r>
        <w:rPr>
          <w:rFonts w:hint="eastAsia" w:ascii="仿宋_GB2312" w:hAnsi="仿宋_GB2312" w:eastAsia="仿宋_GB2312" w:cs="仿宋_GB2312"/>
          <w:kern w:val="0"/>
          <w:sz w:val="28"/>
          <w:szCs w:val="28"/>
          <w:u w:val="single"/>
          <w:shd w:val="clear" w:color="auto" w:fill="FFFFFF"/>
        </w:rPr>
        <w:t xml:space="preserve"> </w:t>
      </w:r>
      <w:r>
        <w:rPr>
          <w:rFonts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年度考核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565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考核内容和权重</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考核标准</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人员配备（10）</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人员配备充足、稳定、资历经验满足要求</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服务质量（10）</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服务态度积极，服务和组织全过程周到、细致、专业能力强；与有关单位和个人沟通态度和效果良好</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组织实施（10）</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熟练掌握国家政府采购、招投标法律法规政策和自治区、赤峰市、赤峰学院的文件规定，严格保守技术和商业秘密，有效规避风险，提出合理化建议，开标准备充分，评委优秀且按时到场，开标（评审）过程规范有序</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进度保证（10）</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及时提交工作文件、按时完成委托事项</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文件质量（50）</w:t>
            </w:r>
          </w:p>
        </w:tc>
        <w:tc>
          <w:tcPr>
            <w:tcW w:w="5650"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论证审核后的采购需求、采购公告和文件合法、合规、合理、清晰、完整、准确，不存在倾向性和排他性；评审报告和采购合同没有疏漏、格式正确、内容全面</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档案资料整理移交（10）</w:t>
            </w:r>
          </w:p>
        </w:tc>
        <w:tc>
          <w:tcPr>
            <w:tcW w:w="5650" w:type="dxa"/>
            <w:shd w:val="clear" w:color="auto" w:fill="auto"/>
            <w:noWrap w:val="0"/>
            <w:vAlign w:val="top"/>
          </w:tcPr>
          <w:p>
            <w:pPr>
              <w:pStyle w:val="8"/>
              <w:shd w:val="clear" w:color="auto" w:fill="FFFFFF"/>
              <w:spacing w:beforeAutospacing="0" w:afterAutospacing="0" w:line="360" w:lineRule="exact"/>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项目结束后一周内将项目资料装订成册并形成电子文档（刻录光盘）、制作目录清单，移送项目单位</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7" w:type="dxa"/>
            <w:gridSpan w:val="2"/>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总分（100）</w:t>
            </w:r>
          </w:p>
        </w:tc>
        <w:tc>
          <w:tcPr>
            <w:tcW w:w="755"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noWrap w:val="0"/>
            <w:vAlign w:val="top"/>
          </w:tcPr>
          <w:p>
            <w:pPr>
              <w:spacing w:line="360" w:lineRule="exac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说明事项</w:t>
            </w:r>
          </w:p>
        </w:tc>
        <w:tc>
          <w:tcPr>
            <w:tcW w:w="6405" w:type="dxa"/>
            <w:gridSpan w:val="2"/>
            <w:shd w:val="clear" w:color="auto" w:fill="auto"/>
            <w:noWrap w:val="0"/>
            <w:vAlign w:val="top"/>
          </w:tcPr>
          <w:p>
            <w:pPr>
              <w:spacing w:line="360" w:lineRule="exact"/>
              <w:rPr>
                <w:rFonts w:hint="eastAsia"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（违规违纪情况、影响学校采购活动情况、对代理机构的建议等）：</w:t>
            </w:r>
          </w:p>
          <w:p>
            <w:pPr>
              <w:spacing w:line="360" w:lineRule="exact"/>
              <w:rPr>
                <w:rFonts w:hint="eastAsia" w:ascii="仿宋_GB2312" w:hAnsi="仿宋_GB2312" w:eastAsia="仿宋_GB2312" w:cs="仿宋_GB2312"/>
                <w:kern w:val="0"/>
                <w:sz w:val="24"/>
                <w:szCs w:val="20"/>
                <w:shd w:val="clear" w:color="auto" w:fill="FFFFFF"/>
              </w:rPr>
            </w:pPr>
          </w:p>
          <w:p>
            <w:pPr>
              <w:spacing w:line="360" w:lineRule="exact"/>
              <w:rPr>
                <w:rFonts w:hint="eastAsia" w:ascii="仿宋_GB2312" w:hAnsi="仿宋_GB2312" w:eastAsia="仿宋_GB2312" w:cs="仿宋_GB2312"/>
                <w:kern w:val="0"/>
                <w:sz w:val="24"/>
                <w:szCs w:val="20"/>
                <w:shd w:val="clear" w:color="auto" w:fill="FFFFFF"/>
              </w:rPr>
            </w:pPr>
          </w:p>
          <w:p>
            <w:pPr>
              <w:spacing w:line="360" w:lineRule="exact"/>
              <w:rPr>
                <w:rFonts w:hint="eastAsia" w:ascii="仿宋_GB2312" w:hAnsi="仿宋_GB2312" w:eastAsia="仿宋_GB2312" w:cs="仿宋_GB2312"/>
                <w:kern w:val="0"/>
                <w:sz w:val="24"/>
                <w:szCs w:val="20"/>
                <w:shd w:val="clear" w:color="auto" w:fill="FFFFFF"/>
              </w:rPr>
            </w:pPr>
          </w:p>
          <w:p>
            <w:pPr>
              <w:spacing w:line="360" w:lineRule="exact"/>
              <w:rPr>
                <w:rFonts w:hint="eastAsia" w:ascii="仿宋_GB2312" w:hAnsi="仿宋_GB2312" w:eastAsia="仿宋_GB2312" w:cs="仿宋_GB2312"/>
                <w:kern w:val="0"/>
                <w:sz w:val="24"/>
                <w:szCs w:val="20"/>
                <w:shd w:val="clear" w:color="auto" w:fill="FFFFFF"/>
              </w:rPr>
            </w:pPr>
          </w:p>
          <w:p>
            <w:pPr>
              <w:spacing w:line="360" w:lineRule="exact"/>
              <w:rPr>
                <w:rFonts w:hint="eastAsia" w:ascii="仿宋_GB2312" w:hAnsi="仿宋_GB2312" w:eastAsia="仿宋_GB2312" w:cs="仿宋_GB2312"/>
                <w:kern w:val="0"/>
                <w:sz w:val="24"/>
                <w:szCs w:val="20"/>
                <w:shd w:val="clear" w:color="auto" w:fill="FFFFFF"/>
              </w:rPr>
            </w:pPr>
          </w:p>
          <w:p>
            <w:pPr>
              <w:spacing w:line="360" w:lineRule="exact"/>
              <w:rPr>
                <w:rFonts w:hint="eastAsia" w:ascii="仿宋_GB2312" w:hAnsi="仿宋_GB2312" w:eastAsia="仿宋_GB2312" w:cs="仿宋_GB2312"/>
                <w:kern w:val="0"/>
                <w:sz w:val="24"/>
                <w:szCs w:val="20"/>
                <w:shd w:val="clear" w:color="auto" w:fill="FFFFFF"/>
              </w:rPr>
            </w:pPr>
          </w:p>
        </w:tc>
      </w:tr>
    </w:tbl>
    <w:p>
      <w:pPr>
        <w:spacing w:line="360" w:lineRule="exact"/>
        <w:ind w:firstLine="420"/>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注：此表由项目单位、采购监督管理部门及学校内控相关监管部门根据参与事项填写。请据实、公正填写本表，严格保密本表信息。为提高代理机构服务质量，请详细填写最后一栏的说明事项。</w:t>
      </w:r>
    </w:p>
    <w:p>
      <w:pPr>
        <w:ind w:firstLine="420"/>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考核评价人（签字）：</w:t>
      </w:r>
    </w:p>
    <w:p>
      <w:pPr>
        <w:ind w:firstLine="420"/>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                                  （单位公章）</w:t>
      </w:r>
    </w:p>
    <w:p>
      <w:pPr>
        <w:ind w:firstLine="5740" w:firstLineChars="2050"/>
        <w:rPr>
          <w:rFonts w:ascii="仿宋_GB2312" w:hAnsi="仿宋_GB2312" w:eastAsia="仿宋_GB2312" w:cs="仿宋_GB2312"/>
          <w:kern w:val="0"/>
          <w:sz w:val="28"/>
          <w:szCs w:val="28"/>
          <w:shd w:val="clear" w:color="auto" w:fill="FFFFFF"/>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kern w:val="0"/>
          <w:sz w:val="28"/>
          <w:szCs w:val="28"/>
          <w:shd w:val="clear" w:color="auto" w:fill="FFFFFF"/>
        </w:rPr>
        <w:t xml:space="preserve">年    月   日    </w:t>
      </w:r>
    </w:p>
    <w:p>
      <w:pPr>
        <w:rPr>
          <w:rFonts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附件2</w:t>
      </w:r>
    </w:p>
    <w:p>
      <w:pPr>
        <w:ind w:firstLine="3600" w:firstLineChars="1000"/>
        <w:rPr>
          <w:rFonts w:ascii="仿宋_GB2312" w:hAnsi="仿宋_GB2312" w:eastAsia="仿宋_GB2312" w:cs="仿宋_GB2312"/>
          <w:kern w:val="0"/>
          <w:sz w:val="36"/>
          <w:szCs w:val="36"/>
          <w:shd w:val="clear" w:color="auto" w:fill="FFFFFF"/>
        </w:rPr>
      </w:pPr>
      <w:r>
        <w:rPr>
          <w:rFonts w:hint="eastAsia" w:ascii="仿宋_GB2312" w:hAnsi="仿宋_GB2312" w:eastAsia="仿宋_GB2312" w:cs="仿宋_GB2312"/>
          <w:sz w:val="36"/>
          <w:szCs w:val="36"/>
          <w:shd w:val="clear" w:color="auto" w:fill="FFFFFF"/>
        </w:rPr>
        <w:t>赤峰学院采购代理机构评价考核汇总表</w:t>
      </w:r>
    </w:p>
    <w:p>
      <w:pPr>
        <w:rPr>
          <w:rFonts w:ascii="仿宋_GB2312" w:hAnsi="仿宋_GB2312" w:eastAsia="仿宋_GB2312" w:cs="仿宋_GB2312"/>
          <w:kern w:val="0"/>
          <w:sz w:val="28"/>
          <w:szCs w:val="28"/>
          <w:u w:val="single"/>
          <w:shd w:val="clear" w:color="auto" w:fill="FFFFFF"/>
        </w:rPr>
      </w:pPr>
      <w:r>
        <w:rPr>
          <w:rFonts w:hint="eastAsia" w:ascii="仿宋_GB2312" w:hAnsi="仿宋_GB2312" w:eastAsia="仿宋_GB2312" w:cs="仿宋_GB2312"/>
          <w:kern w:val="0"/>
          <w:sz w:val="28"/>
          <w:szCs w:val="28"/>
          <w:shd w:val="clear" w:color="auto" w:fill="FFFFFF"/>
        </w:rPr>
        <w:t>评价考核日期：      年  月  日          汇总人：             复核人：              监督人：</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42"/>
        <w:gridCol w:w="663"/>
        <w:gridCol w:w="666"/>
        <w:gridCol w:w="663"/>
        <w:gridCol w:w="666"/>
        <w:gridCol w:w="663"/>
        <w:gridCol w:w="666"/>
        <w:gridCol w:w="663"/>
        <w:gridCol w:w="666"/>
        <w:gridCol w:w="663"/>
        <w:gridCol w:w="666"/>
        <w:gridCol w:w="663"/>
        <w:gridCol w:w="666"/>
        <w:gridCol w:w="663"/>
        <w:gridCol w:w="666"/>
        <w:gridCol w:w="663"/>
        <w:gridCol w:w="66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3" w:type="pct"/>
            <w:vMerge w:val="restar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序号</w:t>
            </w:r>
          </w:p>
          <w:p>
            <w:pPr>
              <w:rPr>
                <w:rFonts w:ascii="Times New Roman" w:hAnsi="Times New Roman"/>
                <w:kern w:val="0"/>
                <w:sz w:val="24"/>
                <w:szCs w:val="20"/>
              </w:rPr>
            </w:pPr>
          </w:p>
        </w:tc>
        <w:tc>
          <w:tcPr>
            <w:tcW w:w="544" w:type="pct"/>
            <w:vMerge w:val="restar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代理机构名称</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第1次委托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第2次委托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第3次委托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第4次委托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第5次委托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第6次委托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第7次委托</w:t>
            </w:r>
          </w:p>
        </w:tc>
        <w:tc>
          <w:tcPr>
            <w:tcW w:w="469" w:type="pct"/>
            <w:gridSpan w:val="2"/>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第8次委托</w:t>
            </w:r>
          </w:p>
        </w:tc>
        <w:tc>
          <w:tcPr>
            <w:tcW w:w="469"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3" w:type="pct"/>
            <w:vMerge w:val="continue"/>
            <w:shd w:val="clear" w:color="auto" w:fill="auto"/>
            <w:noWrap w:val="0"/>
            <w:vAlign w:val="top"/>
          </w:tcPr>
          <w:p>
            <w:pPr>
              <w:rPr>
                <w:rFonts w:ascii="Times New Roman" w:hAnsi="Times New Roman"/>
                <w:kern w:val="0"/>
                <w:sz w:val="24"/>
                <w:szCs w:val="20"/>
              </w:rPr>
            </w:pPr>
          </w:p>
        </w:tc>
        <w:tc>
          <w:tcPr>
            <w:tcW w:w="544" w:type="pct"/>
            <w:vMerge w:val="continue"/>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234"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时间</w:t>
            </w:r>
          </w:p>
        </w:tc>
        <w:tc>
          <w:tcPr>
            <w:tcW w:w="235"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得分</w:t>
            </w: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1</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2</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3</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4</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5</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6</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7</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noWrap w:val="0"/>
            <w:vAlign w:val="top"/>
          </w:tcPr>
          <w:p>
            <w:pPr>
              <w:rPr>
                <w:rFonts w:ascii="Times New Roman" w:hAnsi="Times New Roman"/>
                <w:kern w:val="0"/>
                <w:sz w:val="24"/>
                <w:szCs w:val="20"/>
              </w:rPr>
            </w:pPr>
            <w:r>
              <w:rPr>
                <w:rFonts w:hint="eastAsia" w:ascii="Times New Roman" w:hAnsi="Times New Roman"/>
                <w:kern w:val="0"/>
                <w:sz w:val="24"/>
                <w:szCs w:val="20"/>
              </w:rPr>
              <w:t>8</w:t>
            </w:r>
          </w:p>
        </w:tc>
        <w:tc>
          <w:tcPr>
            <w:tcW w:w="544"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234" w:type="pct"/>
            <w:shd w:val="clear" w:color="auto" w:fill="auto"/>
            <w:noWrap w:val="0"/>
            <w:vAlign w:val="top"/>
          </w:tcPr>
          <w:p>
            <w:pPr>
              <w:rPr>
                <w:rFonts w:ascii="Times New Roman" w:hAnsi="Times New Roman"/>
                <w:kern w:val="0"/>
                <w:sz w:val="24"/>
                <w:szCs w:val="20"/>
              </w:rPr>
            </w:pPr>
          </w:p>
        </w:tc>
        <w:tc>
          <w:tcPr>
            <w:tcW w:w="235" w:type="pct"/>
            <w:shd w:val="clear" w:color="auto" w:fill="auto"/>
            <w:noWrap w:val="0"/>
            <w:vAlign w:val="top"/>
          </w:tcPr>
          <w:p>
            <w:pPr>
              <w:rPr>
                <w:rFonts w:ascii="Times New Roman" w:hAnsi="Times New Roman"/>
                <w:kern w:val="0"/>
                <w:sz w:val="24"/>
                <w:szCs w:val="20"/>
              </w:rPr>
            </w:pPr>
          </w:p>
        </w:tc>
        <w:tc>
          <w:tcPr>
            <w:tcW w:w="469" w:type="pct"/>
            <w:shd w:val="clear" w:color="auto" w:fill="auto"/>
            <w:noWrap w:val="0"/>
            <w:vAlign w:val="top"/>
          </w:tcPr>
          <w:p>
            <w:pPr>
              <w:rPr>
                <w:rFonts w:ascii="Times New Roman" w:hAnsi="Times New Roman"/>
                <w:kern w:val="0"/>
                <w:sz w:val="24"/>
                <w:szCs w:val="20"/>
              </w:rPr>
            </w:pPr>
          </w:p>
        </w:tc>
      </w:tr>
    </w:tbl>
    <w:p>
      <w:pP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注：考核平均分低于85分取消下届参加遴选代理资格。</w:t>
      </w:r>
    </w:p>
    <w:p>
      <w:pPr>
        <w:widowControl/>
        <w:jc w:val="left"/>
        <w:rPr>
          <w:rFonts w:ascii="仿宋_GB2312" w:hAnsi="仿宋_GB2312" w:eastAsia="仿宋_GB2312" w:cs="仿宋_GB2312"/>
          <w:kern w:val="0"/>
          <w:sz w:val="28"/>
          <w:szCs w:val="28"/>
          <w:shd w:val="clear" w:color="auto" w:fill="FFFFFF"/>
        </w:rPr>
        <w:sectPr>
          <w:pgSz w:w="16838" w:h="11906" w:orient="landscape"/>
          <w:pgMar w:top="1800" w:right="1440" w:bottom="1800" w:left="1440" w:header="851" w:footer="992" w:gutter="0"/>
          <w:cols w:space="720" w:num="1"/>
          <w:docGrid w:type="lines" w:linePitch="312" w:charSpace="0"/>
        </w:sectPr>
      </w:pPr>
    </w:p>
    <w:p>
      <w:pPr>
        <w:rPr>
          <w:rFonts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rPr>
        <w:t>赤峰学院采购代理机构委托代理合同</w:t>
      </w:r>
    </w:p>
    <w:p>
      <w:pPr>
        <w:spacing w:line="560" w:lineRule="exact"/>
        <w:rPr>
          <w:rFonts w:ascii="仿宋" w:hAnsi="仿宋" w:eastAsia="仿宋" w:cs="宋体"/>
          <w:sz w:val="32"/>
          <w:szCs w:val="32"/>
        </w:rPr>
      </w:pPr>
    </w:p>
    <w:p>
      <w:pPr>
        <w:spacing w:line="560" w:lineRule="exact"/>
        <w:rPr>
          <w:rFonts w:ascii="仿宋" w:hAnsi="仿宋" w:eastAsia="仿宋"/>
          <w:sz w:val="32"/>
          <w:szCs w:val="32"/>
        </w:rPr>
      </w:pPr>
      <w:r>
        <w:rPr>
          <w:rFonts w:hint="eastAsia" w:ascii="仿宋" w:hAnsi="仿宋" w:eastAsia="仿宋" w:cs="宋体"/>
          <w:sz w:val="32"/>
          <w:szCs w:val="32"/>
        </w:rPr>
        <w:t>采购人：赤峰学院（以下简称甲方）</w:t>
      </w:r>
    </w:p>
    <w:p>
      <w:pPr>
        <w:spacing w:line="560" w:lineRule="exact"/>
        <w:rPr>
          <w:rFonts w:ascii="仿宋" w:hAnsi="仿宋" w:eastAsia="仿宋"/>
          <w:sz w:val="32"/>
          <w:szCs w:val="32"/>
        </w:rPr>
      </w:pPr>
      <w:r>
        <w:rPr>
          <w:rFonts w:hint="eastAsia" w:ascii="仿宋" w:hAnsi="仿宋" w:eastAsia="仿宋" w:cs="宋体"/>
          <w:sz w:val="32"/>
          <w:szCs w:val="32"/>
        </w:rPr>
        <w:t>成交人：（以下简称乙方）</w:t>
      </w:r>
    </w:p>
    <w:p>
      <w:pPr>
        <w:spacing w:line="560" w:lineRule="exact"/>
        <w:ind w:firstLine="729" w:firstLineChars="228"/>
        <w:rPr>
          <w:rFonts w:ascii="仿宋" w:hAnsi="仿宋" w:eastAsia="仿宋"/>
          <w:sz w:val="32"/>
          <w:szCs w:val="32"/>
        </w:rPr>
      </w:pPr>
      <w:r>
        <w:rPr>
          <w:rFonts w:hint="eastAsia" w:ascii="仿宋" w:hAnsi="仿宋" w:eastAsia="仿宋" w:cs="宋体"/>
          <w:sz w:val="32"/>
          <w:szCs w:val="32"/>
        </w:rPr>
        <w:t>乙方在甲方组织的</w:t>
      </w:r>
      <w:r>
        <w:rPr>
          <w:rFonts w:hint="eastAsia" w:ascii="仿宋" w:hAnsi="仿宋" w:eastAsia="仿宋" w:cs="宋体"/>
          <w:kern w:val="0"/>
          <w:sz w:val="32"/>
          <w:szCs w:val="32"/>
        </w:rPr>
        <w:t>赤峰学院委托代理采购服务等业务</w:t>
      </w:r>
      <w:r>
        <w:rPr>
          <w:rFonts w:hint="eastAsia" w:ascii="仿宋" w:hAnsi="仿宋" w:eastAsia="仿宋" w:cs="宋体"/>
          <w:sz w:val="32"/>
          <w:szCs w:val="32"/>
        </w:rPr>
        <w:t>遴选中成交，依据《中华人民共和国民法典》及其他有关法律规定，遵循平等、自愿、公平和诚实信用的原则，根据本次服务的内容及乙方的</w:t>
      </w:r>
      <w:r>
        <w:rPr>
          <w:rFonts w:hint="eastAsia" w:ascii="仿宋" w:hAnsi="仿宋" w:eastAsia="仿宋" w:cs="仿宋_GB2312"/>
          <w:kern w:val="0"/>
          <w:sz w:val="32"/>
          <w:szCs w:val="32"/>
          <w:shd w:val="clear" w:color="auto" w:fill="FFFFFF"/>
        </w:rPr>
        <w:t>承诺</w:t>
      </w:r>
      <w:r>
        <w:rPr>
          <w:rFonts w:hint="eastAsia" w:ascii="仿宋" w:hAnsi="仿宋" w:eastAsia="仿宋" w:cs="宋体"/>
          <w:sz w:val="32"/>
          <w:szCs w:val="32"/>
        </w:rPr>
        <w:t>，经甲、乙双方协商一致，达成如下条款，签订本合同，以便共同遵守。</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一、定义</w:t>
      </w:r>
    </w:p>
    <w:p>
      <w:pPr>
        <w:autoSpaceDE w:val="0"/>
        <w:autoSpaceDN w:val="0"/>
        <w:adjustRightInd w:val="0"/>
        <w:snapToGrid w:val="0"/>
        <w:spacing w:line="560" w:lineRule="exact"/>
        <w:ind w:right="32" w:firstLine="569" w:firstLineChars="178"/>
        <w:rPr>
          <w:rFonts w:ascii="仿宋" w:hAnsi="仿宋" w:eastAsia="仿宋"/>
          <w:kern w:val="0"/>
          <w:sz w:val="32"/>
          <w:szCs w:val="32"/>
        </w:rPr>
      </w:pPr>
      <w:r>
        <w:rPr>
          <w:rFonts w:ascii="仿宋" w:hAnsi="仿宋" w:eastAsia="仿宋" w:cs="宋体"/>
          <w:kern w:val="0"/>
          <w:sz w:val="32"/>
          <w:szCs w:val="32"/>
        </w:rPr>
        <w:t xml:space="preserve">1. </w:t>
      </w:r>
      <w:r>
        <w:rPr>
          <w:rFonts w:hint="eastAsia" w:ascii="仿宋" w:hAnsi="仿宋" w:eastAsia="仿宋" w:cs="宋体"/>
          <w:kern w:val="0"/>
          <w:sz w:val="32"/>
          <w:szCs w:val="32"/>
        </w:rPr>
        <w:t>“合同”系指甲乙双方签署的、合同格式中载明的甲乙双方所达成的协议，包括所有的附件、附录和构成合同的所有文件；</w:t>
      </w:r>
    </w:p>
    <w:p>
      <w:pPr>
        <w:autoSpaceDE w:val="0"/>
        <w:autoSpaceDN w:val="0"/>
        <w:adjustRightInd w:val="0"/>
        <w:snapToGrid w:val="0"/>
        <w:spacing w:line="560" w:lineRule="exact"/>
        <w:ind w:right="32" w:firstLine="569" w:firstLineChars="178"/>
        <w:rPr>
          <w:rFonts w:ascii="仿宋" w:hAnsi="仿宋" w:eastAsia="仿宋" w:cs="宋体"/>
          <w:sz w:val="32"/>
          <w:szCs w:val="32"/>
          <w:shd w:val="clear" w:color="auto" w:fill="FFFFFF"/>
        </w:rPr>
      </w:pPr>
      <w:r>
        <w:rPr>
          <w:rFonts w:ascii="仿宋" w:hAnsi="仿宋" w:eastAsia="仿宋" w:cs="宋体"/>
          <w:kern w:val="0"/>
          <w:sz w:val="32"/>
          <w:szCs w:val="32"/>
        </w:rPr>
        <w:t xml:space="preserve">2. </w:t>
      </w:r>
      <w:r>
        <w:rPr>
          <w:rFonts w:hint="eastAsia" w:ascii="仿宋" w:hAnsi="仿宋" w:eastAsia="仿宋" w:cs="宋体"/>
          <w:kern w:val="0"/>
          <w:sz w:val="32"/>
          <w:szCs w:val="32"/>
        </w:rPr>
        <w:t>“收费方式及标准”系指根据行业相关规定、合同或项目代理协议（项目代理合同）规定，乙方在完全履行合同义务后,向中标供应商或甲方收费的方式和标准。</w:t>
      </w:r>
    </w:p>
    <w:p>
      <w:pPr>
        <w:autoSpaceDE w:val="0"/>
        <w:autoSpaceDN w:val="0"/>
        <w:adjustRightInd w:val="0"/>
        <w:snapToGrid w:val="0"/>
        <w:spacing w:line="560" w:lineRule="exact"/>
        <w:ind w:right="32" w:firstLine="569" w:firstLineChars="178"/>
        <w:rPr>
          <w:rFonts w:ascii="仿宋" w:hAnsi="仿宋" w:eastAsia="仿宋"/>
          <w:kern w:val="0"/>
          <w:sz w:val="32"/>
          <w:szCs w:val="32"/>
        </w:rPr>
      </w:pPr>
      <w:r>
        <w:rPr>
          <w:rFonts w:ascii="仿宋" w:hAnsi="仿宋" w:eastAsia="仿宋" w:cs="宋体"/>
          <w:kern w:val="0"/>
          <w:sz w:val="32"/>
          <w:szCs w:val="32"/>
        </w:rPr>
        <w:t xml:space="preserve">3. </w:t>
      </w:r>
      <w:r>
        <w:rPr>
          <w:rFonts w:hint="eastAsia" w:ascii="仿宋" w:hAnsi="仿宋" w:eastAsia="仿宋" w:cs="宋体"/>
          <w:kern w:val="0"/>
          <w:sz w:val="32"/>
          <w:szCs w:val="32"/>
        </w:rPr>
        <w:t>“服务”系指根据合同规定乙方承担的服务。</w:t>
      </w:r>
    </w:p>
    <w:p>
      <w:pPr>
        <w:autoSpaceDE w:val="0"/>
        <w:autoSpaceDN w:val="0"/>
        <w:adjustRightInd w:val="0"/>
        <w:snapToGrid w:val="0"/>
        <w:spacing w:line="560" w:lineRule="exact"/>
        <w:ind w:right="32" w:firstLine="569" w:firstLineChars="178"/>
        <w:rPr>
          <w:rFonts w:hint="eastAsia" w:ascii="仿宋" w:hAnsi="仿宋" w:eastAsia="仿宋" w:cs="宋体"/>
          <w:sz w:val="32"/>
          <w:szCs w:val="32"/>
        </w:rPr>
      </w:pPr>
      <w:r>
        <w:rPr>
          <w:rFonts w:hint="eastAsia" w:ascii="黑体" w:hAnsi="黑体" w:eastAsia="黑体" w:cs="宋体"/>
          <w:sz w:val="32"/>
          <w:szCs w:val="32"/>
        </w:rPr>
        <w:t>二、合同服务内容及要求</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567"/>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1" w:type="dxa"/>
            <w:noWrap w:val="0"/>
            <w:vAlign w:val="center"/>
          </w:tcPr>
          <w:p>
            <w:pPr>
              <w:spacing w:line="480" w:lineRule="exact"/>
              <w:ind w:firstLine="638" w:firstLineChars="228"/>
              <w:rPr>
                <w:rFonts w:hint="eastAsia" w:ascii="仿宋" w:hAnsi="仿宋" w:eastAsia="仿宋" w:cs="宋体"/>
                <w:sz w:val="28"/>
                <w:szCs w:val="28"/>
              </w:rPr>
            </w:pPr>
            <w:r>
              <w:rPr>
                <w:rFonts w:hint="eastAsia" w:ascii="仿宋" w:hAnsi="仿宋" w:eastAsia="仿宋" w:cs="宋体"/>
                <w:sz w:val="28"/>
                <w:szCs w:val="28"/>
              </w:rPr>
              <w:t>序序号</w:t>
            </w:r>
          </w:p>
        </w:tc>
        <w:tc>
          <w:tcPr>
            <w:tcW w:w="567" w:type="dxa"/>
            <w:tcBorders>
              <w:left w:val="nil"/>
            </w:tcBorders>
            <w:noWrap w:val="0"/>
            <w:vAlign w:val="center"/>
          </w:tcPr>
          <w:p>
            <w:pPr>
              <w:spacing w:line="480" w:lineRule="exact"/>
              <w:ind w:firstLine="638" w:firstLineChars="228"/>
              <w:rPr>
                <w:rFonts w:hint="eastAsia" w:ascii="仿宋" w:hAnsi="仿宋" w:eastAsia="仿宋" w:cs="宋体"/>
                <w:sz w:val="28"/>
                <w:szCs w:val="28"/>
              </w:rPr>
            </w:pPr>
            <w:r>
              <w:rPr>
                <w:rFonts w:hint="eastAsia" w:ascii="仿宋" w:hAnsi="仿宋" w:eastAsia="仿宋" w:cs="宋体"/>
                <w:sz w:val="28"/>
                <w:szCs w:val="28"/>
              </w:rPr>
              <w:t>名名称</w:t>
            </w:r>
          </w:p>
        </w:tc>
        <w:tc>
          <w:tcPr>
            <w:tcW w:w="6281" w:type="dxa"/>
            <w:tcBorders>
              <w:left w:val="nil"/>
            </w:tcBorders>
            <w:noWrap w:val="0"/>
            <w:vAlign w:val="center"/>
          </w:tcPr>
          <w:p>
            <w:pPr>
              <w:spacing w:line="480" w:lineRule="exact"/>
              <w:ind w:firstLine="1752" w:firstLineChars="626"/>
              <w:rPr>
                <w:rFonts w:hint="eastAsia" w:ascii="仿宋" w:hAnsi="仿宋" w:eastAsia="仿宋" w:cs="宋体"/>
                <w:sz w:val="28"/>
                <w:szCs w:val="28"/>
              </w:rPr>
            </w:pPr>
            <w:r>
              <w:rPr>
                <w:rFonts w:hint="eastAsia" w:ascii="仿宋" w:hAnsi="仿宋" w:eastAsia="仿宋" w:cs="宋体"/>
                <w:sz w:val="28"/>
                <w:szCs w:val="28"/>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1" w:type="dxa"/>
            <w:noWrap w:val="0"/>
            <w:vAlign w:val="center"/>
          </w:tcPr>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w:t>
            </w:r>
          </w:p>
        </w:tc>
        <w:tc>
          <w:tcPr>
            <w:tcW w:w="567" w:type="dxa"/>
            <w:tcBorders>
              <w:left w:val="nil"/>
            </w:tcBorders>
            <w:noWrap w:val="0"/>
            <w:vAlign w:val="center"/>
          </w:tcPr>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招</w:t>
            </w:r>
          </w:p>
          <w:p>
            <w:pPr>
              <w:spacing w:line="480" w:lineRule="exact"/>
              <w:ind w:firstLine="729" w:firstLineChars="228"/>
              <w:rPr>
                <w:rFonts w:hint="eastAsia" w:ascii="仿宋" w:hAnsi="仿宋" w:eastAsia="仿宋" w:cs="宋体"/>
                <w:sz w:val="32"/>
                <w:szCs w:val="32"/>
              </w:rPr>
            </w:pPr>
          </w:p>
          <w:p>
            <w:pPr>
              <w:spacing w:line="480" w:lineRule="exact"/>
              <w:ind w:firstLine="729" w:firstLineChars="228"/>
              <w:rPr>
                <w:rFonts w:hint="eastAsia" w:ascii="仿宋" w:hAnsi="仿宋" w:eastAsia="仿宋" w:cs="宋体"/>
                <w:sz w:val="32"/>
                <w:szCs w:val="32"/>
              </w:rPr>
            </w:pPr>
          </w:p>
          <w:p>
            <w:pPr>
              <w:spacing w:line="480" w:lineRule="exact"/>
              <w:ind w:firstLine="729" w:firstLineChars="228"/>
              <w:rPr>
                <w:rFonts w:hint="eastAsia" w:ascii="仿宋" w:hAnsi="仿宋" w:eastAsia="仿宋" w:cs="宋体"/>
                <w:sz w:val="32"/>
                <w:szCs w:val="32"/>
              </w:rPr>
            </w:pP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标代理服务、造价咨询服务</w:t>
            </w:r>
          </w:p>
        </w:tc>
        <w:tc>
          <w:tcPr>
            <w:tcW w:w="6281" w:type="dxa"/>
            <w:tcBorders>
              <w:left w:val="nil"/>
            </w:tcBorders>
            <w:noWrap w:val="0"/>
            <w:vAlign w:val="top"/>
          </w:tcPr>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一、服务地点：赤峰市市辖区</w:t>
            </w:r>
          </w:p>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二、服务范围</w:t>
            </w:r>
          </w:p>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1、采购代理服务。</w:t>
            </w:r>
          </w:p>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2、工程招标代理服务。</w:t>
            </w:r>
          </w:p>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3、造价咨询服务（工程造价概、预算编制等）。</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采购代理服务是指属分散采购和达到学校集中采购限额标准采的货物、工程、服务采购项目采购代理服务。</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工程招标代理服务是指需发改等部门立项、审批、审核的建设工程、工程监理及其前期相关工作的招标代理服务和达到公开招标数额标准的工程项目招标代理服务。</w:t>
            </w:r>
          </w:p>
          <w:p>
            <w:pPr>
              <w:spacing w:line="4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三、服务要求</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代理机构代理分散采购、学校集中采购、工程招标、造价咨询服务等业务应当具备以下条件：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（1）具有独立承担民事责任的能力。</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（2）建立完善的政府采购内部监督管理制度；</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拥有不少于3名在岗工程招标代理、不少于3名在岗造价咨询从业人员；拥有不少于3名在岗熟悉政府采购法律法规、具备编制采购需求、采购文件和组织开展采购、招标活动等相应能力的专职从业人员。（注：以上人员可重复）</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（4）具有固定办公场所和代理采购业务所必需的办公条件。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（5）在自有场所组织评审工作的，应当具备必要的评审场地和录音录像等监控设备设施。</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（6）具备为论证专家、评标专家、采购人代表等开展采购工作提供停车便利服务的条件。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四、项目执行</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（一）采购代理及工程招标代理业务：</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1.采购代理委托</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（1）甲方法人授权委托人与代理机构签订《委托代理协议》（建设工程招标代理合同）办理委托事项，一事一委托。</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（2）代理协议明确代理费用收取方式及标准。</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（3）核实分散采购项目财政评审及进口产品审批或备案情况。</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2、采购需求编制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（1）根据采购项目特点和项目单位提供的材料和要求，协助甲方项目单位按照《内蒙古自治区政府采购项目采购需求管理（范本）》要求编制分散采购项目的采购需求。</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（2）采购需求符合国家法律法规，执行国家、行业、地方等相关标准；不涉及民族、宗教、意识形态等内容，不引发舆情事件。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采购需求完整、明确。落实政府采购政策（绿色建筑、绿色建材、绿色包装，节能产品，环境标志产品，中小企业，监狱企业，残疾人福利性单位，不发达、少数民族地区的企业，促进自主创新产业发展，支持脱贫攻坚等）。</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（4）不存在专利、专有技术和指向性技术指标。</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（5）不指定产品、品牌、技术和唯一性工艺。</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（6）组织专家会论证审核采购需求全程录音录像，录音录像清晰可辨。</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3.采购方式选择</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（1）依据《中华人民共和国政府采购法》及其实施条例和内蒙古自治区财政厅《全区统一集中采购目录及有关政策（2020 年版）》选择采购方式。</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（2）采购方式与采购需求匹配。</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4.采购文件编制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（1）根据采购项目特点、采购需求和项目单位提供的材料、合法要求，按照《内蒙古自治区政府采购文件（范本）》编制采购文件（分散采购）并对采购文件的合法合规合理性负责。</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（2）采购文件内容完整，合法合规；不涉及民族、宗教、意识形态等内容，不引发舆情事件。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（3）对于不允许偏离的实质性要求和条件在采购文件中规定并以醒目的方式表明。</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（4）采用综合评分法的，评审标准中的分值设置与评审因素的量化指标相对应。</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（5）资格条件或评审因素中不对供应商实行差别待遇或者歧视待遇。</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（6）合同条款设置符合采购需求。</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（7）对已发出的采购文件进行必要澄清或修改。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（8）组织专家会论证审核采购文件全程录音录像，录音录像清晰可辨。</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5、评审准备</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根据法定方式或程序确定参与采购活动的供应商。利用天眼查等系统审查投标供应商单位负责人是否为同一人或者存在直接控股、管理关系。政府采购法实施条例（国务院第658号）第十八条规定存在上述情况的不同供应商不得参加同一合同项目下的政府采购活动。</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（2）根据采购项目类别和特点依法依规抽取政府采购专家库专家。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6、组织评审</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（1）开标（评标）室配备录音录像等监控设备设施 ，评审活动全程录音录像，录音录像清晰可辨。</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（2）项目开标在采购文件确定的提交响应文件截止时间的同一时间公开进行，开标地点是采购文件中预先确定的地点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（3）核对评审专家身份和采购人代表授权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（4）实际评审专家与抽取结果一致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（5）在评审活动开始前宣布评审工作纪律 ，告知回避要求，介绍政府采购相关政策法规。</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（6）发现评审专家与参加采购活动的供应商有利害关系的 ,要求其回避。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（7）组织评审委员会推选采购人代表以外的评审成员担任组长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（8）采取必要的通讯管理措施，评审活动不受外界干扰。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（9）监督评审委员会进行评审时，及时制止和纠正倾向性言论等违法违规行为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（10）禁止与评审工作无关的人员进入评审现场 ，评审活动在保密的情况下进行 。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（11）线下评标（评审）采用综合评分法的，评标委员会各成员详细打分表和评分汇总表完整准确 ，对评审数据校对、核对，对畸高、畸低的重大差异评分提示评审委员会复核或书面说明理由。</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（12）对非法干预评审工作等违法违规行为，及时向赤峰学院采购监督管理部门、赤峰市财政局采购监督管理部门报告。</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7.采购信息公告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（1）在政府采购主管部门指定媒体发布信息。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（2）发布时间、公告期限符合相关规定。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（3）格式规范，信息完整、真实。</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8.合同管理及履约验收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（1）督促、协助采购人、供应商在法定时限内签订合同、备案云平台合同（分散采购）。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（2）协助采购人完成履约验收。</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9.档案管理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（1）妥善保管采购文件、资料。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（2）采购活动结束后将论证（采购预算达到20万元）、评审音像资料（刻录光盘）和采购文件纸质资料（同时形成电子档案刻录光盘）一并报送甲方项目单位法人授权委托人归档。</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10.质疑、投诉答复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代理机构负责组织采购文件论证专家、评标专家、项目单位采购人代表、项目单位项目负责人对质疑、投诉事件召开专门会议，出具答复材料。</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 xml:space="preserve">（1）质疑答复的内容、时间等符合相关规定。 </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（2）如对评审结果进行改变，须符合法律规定。</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11.其他需要委托办理的内容。</w:t>
            </w:r>
          </w:p>
          <w:p>
            <w:pPr>
              <w:spacing w:line="480" w:lineRule="exact"/>
              <w:ind w:firstLine="729" w:firstLineChars="228"/>
              <w:rPr>
                <w:rFonts w:hint="eastAsia" w:ascii="仿宋" w:hAnsi="仿宋" w:eastAsia="仿宋" w:cs="宋体"/>
                <w:sz w:val="32"/>
                <w:szCs w:val="32"/>
              </w:rPr>
            </w:pPr>
            <w:r>
              <w:rPr>
                <w:rFonts w:hint="eastAsia" w:ascii="仿宋" w:hAnsi="仿宋" w:eastAsia="仿宋" w:cs="宋体"/>
                <w:sz w:val="32"/>
                <w:szCs w:val="32"/>
              </w:rPr>
              <w:t>造价咨询服务（工程造价概、预算编制等）：按照学校项目需求提供服务。</w:t>
            </w:r>
          </w:p>
        </w:tc>
      </w:tr>
    </w:tbl>
    <w:p>
      <w:pPr>
        <w:widowControl/>
        <w:spacing w:line="560" w:lineRule="exact"/>
        <w:ind w:firstLine="800" w:firstLineChars="250"/>
        <w:rPr>
          <w:rFonts w:ascii="黑体" w:hAnsi="黑体" w:eastAsia="黑体" w:cs="宋体"/>
          <w:kern w:val="0"/>
          <w:sz w:val="32"/>
          <w:szCs w:val="32"/>
        </w:rPr>
      </w:pPr>
      <w:r>
        <w:rPr>
          <w:rFonts w:hint="eastAsia" w:ascii="黑体" w:hAnsi="黑体" w:eastAsia="黑体" w:cs="宋体"/>
          <w:kern w:val="0"/>
          <w:sz w:val="32"/>
          <w:szCs w:val="32"/>
        </w:rPr>
        <w:t>三、收费及标准</w:t>
      </w:r>
    </w:p>
    <w:p>
      <w:pPr>
        <w:spacing w:line="560" w:lineRule="exact"/>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rPr>
        <w:t>（一）采购代理、工程招标代理业务收费</w:t>
      </w:r>
    </w:p>
    <w:p>
      <w:pPr>
        <w:pStyle w:val="8"/>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shd w:val="clear" w:color="auto" w:fill="FFFFFF"/>
        </w:rPr>
      </w:pPr>
      <w:r>
        <w:rPr>
          <w:rFonts w:hint="eastAsia" w:ascii="仿宋" w:hAnsi="仿宋" w:eastAsia="仿宋" w:cs="仿宋_GB2312"/>
          <w:sz w:val="32"/>
          <w:szCs w:val="32"/>
        </w:rPr>
        <w:t>代理服务费原则上按照《内蒙古自治区建设工程招标代理服务收费指导意见》（内工建协（2022)34号）指导标准，代理服务收费低于1万元的按实际计费收取，不足3000元按照3000元收取。属建设工程的项目按照《内蒙古自治区房屋建筑和市政基础设施工程招标投标管理办法（试行）》执行，代理费由招标人（项目单位）向代理机构支付。政府采购属分散采购的项目代理机构向中标供应商收取代理费，专家论证费、评审费等由代理机构支付；分散采购限额标准以下的委托采购项目</w:t>
      </w:r>
      <w:r>
        <w:rPr>
          <w:rFonts w:hint="eastAsia" w:ascii="仿宋" w:hAnsi="仿宋" w:eastAsia="仿宋" w:cs="仿宋_GB2312"/>
          <w:sz w:val="32"/>
          <w:szCs w:val="32"/>
          <w:shd w:val="clear" w:color="auto" w:fill="FFFFFF"/>
        </w:rPr>
        <w:t>严格按照自治区财政厅“谁委托、谁付费、谁负责”的规定由</w:t>
      </w:r>
      <w:r>
        <w:rPr>
          <w:rFonts w:hint="eastAsia" w:ascii="仿宋" w:hAnsi="仿宋" w:eastAsia="仿宋" w:cs="仿宋_GB2312"/>
          <w:sz w:val="32"/>
          <w:szCs w:val="32"/>
        </w:rPr>
        <w:t>学校项目单位办理向代理机构结算支付代理费，代理费由项目单位项目预算支出（项目预算-代理费=最高限价）；专家论证费、评审费等由代理机构支付；</w:t>
      </w:r>
      <w:r>
        <w:rPr>
          <w:rFonts w:hint="eastAsia" w:ascii="仿宋" w:hAnsi="仿宋" w:eastAsia="仿宋" w:cs="仿宋_GB2312"/>
          <w:sz w:val="32"/>
          <w:szCs w:val="32"/>
          <w:shd w:val="clear" w:color="auto" w:fill="FFFFFF"/>
        </w:rPr>
        <w:t>不得有偿提供采购文件。代理机构负责按照项目单位提供的材料和要求编制采购需求(政府集中采购、分散采购）、采购文件，并对采购文件的合法合规合理性负责。预算金额不足20万元的项目，非必要不组织专家论证，因技术复杂等原因确需对采购文件进行专家论证的，专家论证费由项目单位项目资金支出，项目单位办理向代理机构支付。</w:t>
      </w:r>
    </w:p>
    <w:p>
      <w:pPr>
        <w:pStyle w:val="3"/>
        <w:spacing w:line="560" w:lineRule="exact"/>
        <w:jc w:val="center"/>
        <w:rPr>
          <w:rFonts w:ascii="宋体" w:hAnsi="宋体" w:cs="宋体"/>
          <w:sz w:val="24"/>
        </w:rPr>
      </w:pPr>
      <w:r>
        <w:rPr>
          <w:rFonts w:hint="eastAsia" w:ascii="宋体" w:hAnsi="宋体" w:cs="宋体"/>
          <w:b/>
          <w:bCs/>
          <w:sz w:val="24"/>
        </w:rPr>
        <w:t>内蒙古自治区招标代理服务收费指导标准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1525"/>
        <w:gridCol w:w="206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640" w:type="dxa"/>
            <w:noWrap w:val="0"/>
            <w:vAlign w:val="center"/>
          </w:tcPr>
          <w:p>
            <w:pPr>
              <w:pStyle w:val="2"/>
              <w:spacing w:line="560" w:lineRule="exact"/>
              <w:ind w:firstLine="480"/>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1701800</wp:posOffset>
                      </wp:positionH>
                      <wp:positionV relativeFrom="paragraph">
                        <wp:posOffset>19050</wp:posOffset>
                      </wp:positionV>
                      <wp:extent cx="476250" cy="338455"/>
                      <wp:effectExtent l="7620" t="7620" r="11430" b="15875"/>
                      <wp:wrapNone/>
                      <wp:docPr id="1" name="文本框 1"/>
                      <wp:cNvGraphicFramePr/>
                      <a:graphic xmlns:a="http://schemas.openxmlformats.org/drawingml/2006/main">
                        <a:graphicData uri="http://schemas.microsoft.com/office/word/2010/wordprocessingShape">
                          <wps:wsp>
                            <wps:cNvSpPr txBox="1"/>
                            <wps:spPr>
                              <a:xfrm>
                                <a:off x="0" y="0"/>
                                <a:ext cx="476250" cy="33845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pPr>
                                    <w:rPr>
                                      <w:sz w:val="18"/>
                                    </w:rPr>
                                  </w:pPr>
                                  <w:r>
                                    <w:rPr>
                                      <w:rFonts w:hint="eastAsia"/>
                                      <w:sz w:val="18"/>
                                    </w:rPr>
                                    <w:t>类型</w:t>
                                  </w:r>
                                </w:p>
                              </w:txbxContent>
                            </wps:txbx>
                            <wps:bodyPr wrap="square" upright="1"/>
                          </wps:wsp>
                        </a:graphicData>
                      </a:graphic>
                    </wp:anchor>
                  </w:drawing>
                </mc:Choice>
                <mc:Fallback>
                  <w:pict>
                    <v:shape id="_x0000_s1026" o:spid="_x0000_s1026" o:spt="202" type="#_x0000_t202" style="position:absolute;left:0pt;margin-left:134pt;margin-top:1.5pt;height:26.65pt;width:37.5pt;z-index:251660288;mso-width-relative:page;mso-height-relative:page;" fillcolor="#FFFFFF" filled="t" stroked="t" coordsize="21600,21600" o:gfxdata="UEsDBAoAAAAAAIdO4kAAAAAAAAAAAAAAAAAEAAAAZHJzL1BLAwQUAAAACACHTuJAKgUmhNgAAAAI&#10;AQAADwAAAGRycy9kb3ducmV2LnhtbE2PQU+DQBCF7yb+h82YeDHtUhCCyNCD0aNprLbR28KOQGRn&#10;Cbst7b93e9LTzOS9vPleuT6ZQRxpcr1lhNUyAkHcWN1zi/Dx/rLIQTivWKvBMiGcycG6ur4qVaHt&#10;zG903PpWhBB2hULovB8LKV3TkVFuaUfioH3bySgfzqmVelJzCDeDjKMok0b1HD50aqSnjpqf7cEg&#10;7HZ5/PD1mcl0s3l9nut0f75LY8Tbm1X0CMLTyf+Z4YIf0KEKTLU9sHZiQIizPHTxCEkYQU/uL0uN&#10;kGYJyKqU/wtUv1BLAwQUAAAACACHTuJAEfFHpk4CAADZBAAADgAAAGRycy9lMm9Eb2MueG1srVTN&#10;jtMwEL4j8Q6W7zRtd7tbRW1XglIuCBAL4uwmTmLJf9huk74AvAEnLtx5rj4Hn51sqRaBeqCHdOIZ&#10;z8z3zTdZ3HVKkj13Xhi9pJPRmBKuC1MKXS/pxw+bZ3NKfGC6ZNJovqQH7und6umTRWtzPjWNkSV3&#10;BEm0z1u7pE0INs8yXzRcMT8ylms4K+MUC3h1dVY61iK7ktl0PL7JWuNK60zBvcfpunfSIaO7JKGp&#10;KlHwtSl2iuvQZ3VcsgBIvhHW01Xqtqp4Ed5WleeByCUF0pCeKAJ7G5/ZasHy2jHbiGJogV3SwiNM&#10;igmNoqdUaxYY2TnxRyolCme8qcKoMCrrgSRGgGIyfsTNfcMsT1hAtbcn0v3/S1u82b9zRJRQAiWa&#10;KQz8+O3r8fvP448vZBLpaa3PEXVvERe656aLocO5x2FE3VVOxX/gIfCD3MOJXN4FUuDw+vZmOoOn&#10;gOvqan49m8Us2e/L1vnwihtForGkDrNLlLL9ax/60IeQgelyI6QkzoRPIjSJrFg1OT3u9AaxBnz1&#10;x97V2xfSkT2DHDbpNzRR+/PoyTj+UqZ/X0H79UMpKTRhcYkGVQUh+XuA6FuHxlK7sYzUpAWLs/nt&#10;DHwwLFEF8cJUFoPwuu4rGylOV/7ehj8PiwStmW96hMkVAbJcicBdshrOype6JOFgMWyNHaexG8VL&#10;SiTHJyFaKTIwIS+JBAlSxyI8LdwwraibXh/RCt22Q9Jobk15gJZaLB3Aft4xhw521om6wdiTtrIY&#10;B8UnfQzbGVfq/B32+Rdp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BSaE2AAAAAgBAAAPAAAA&#10;AAAAAAEAIAAAACIAAABkcnMvZG93bnJldi54bWxQSwECFAAUAAAACACHTuJAEfFHpk4CAADZBAAA&#10;DgAAAAAAAAABACAAAAAnAQAAZHJzL2Uyb0RvYy54bWxQSwUGAAAAAAYABgBZAQAA5wUAAAAA&#10;">
                      <v:fill type="gradient" on="t" color2="#FFFFFF" angle="90" focus="100%" focussize="0,0">
                        <o:fill type="gradientUnscaled" v:ext="backwardCompatible"/>
                      </v:fill>
                      <v:stroke weight="1.25pt" color="#FFFFFF" joinstyle="miter"/>
                      <v:imagedata o:title=""/>
                      <o:lock v:ext="edit" aspectratio="f"/>
                      <v:textbox>
                        <w:txbxContent>
                          <w:p>
                            <w:pPr>
                              <w:rPr>
                                <w:sz w:val="18"/>
                              </w:rPr>
                            </w:pPr>
                            <w:r>
                              <w:rPr>
                                <w:rFonts w:hint="eastAsia"/>
                                <w:sz w:val="18"/>
                              </w:rPr>
                              <w:t>类型</w:t>
                            </w:r>
                          </w:p>
                        </w:txbxContent>
                      </v:textbox>
                    </v:shape>
                  </w:pict>
                </mc:Fallback>
              </mc:AlternateContent>
            </w: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499110</wp:posOffset>
                      </wp:positionH>
                      <wp:positionV relativeFrom="paragraph">
                        <wp:posOffset>114935</wp:posOffset>
                      </wp:positionV>
                      <wp:extent cx="681355" cy="300355"/>
                      <wp:effectExtent l="7620" t="7620" r="15875" b="15875"/>
                      <wp:wrapNone/>
                      <wp:docPr id="6" name="文本框 6"/>
                      <wp:cNvGraphicFramePr/>
                      <a:graphic xmlns:a="http://schemas.openxmlformats.org/drawingml/2006/main">
                        <a:graphicData uri="http://schemas.microsoft.com/office/word/2010/wordprocessingShape">
                          <wps:wsp>
                            <wps:cNvSpPr txBox="1"/>
                            <wps:spPr>
                              <a:xfrm>
                                <a:off x="0" y="0"/>
                                <a:ext cx="681355" cy="30035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pPr>
                                    <w:rPr>
                                      <w:sz w:val="20"/>
                                    </w:rPr>
                                  </w:pPr>
                                  <w:r>
                                    <w:rPr>
                                      <w:rFonts w:hint="eastAsia"/>
                                      <w:sz w:val="20"/>
                                    </w:rPr>
                                    <w:t>费率</w:t>
                                  </w:r>
                                </w:p>
                              </w:txbxContent>
                            </wps:txbx>
                            <wps:bodyPr wrap="square" upright="1"/>
                          </wps:wsp>
                        </a:graphicData>
                      </a:graphic>
                    </wp:anchor>
                  </w:drawing>
                </mc:Choice>
                <mc:Fallback>
                  <w:pict>
                    <v:shape id="_x0000_s1026" o:spid="_x0000_s1026" o:spt="202" type="#_x0000_t202" style="position:absolute;left:0pt;margin-left:39.3pt;margin-top:9.05pt;height:23.65pt;width:53.65pt;z-index:251661312;mso-width-relative:page;mso-height-relative:page;" fillcolor="#FFFFFF" filled="t" stroked="t" coordsize="21600,21600" o:gfxdata="UEsDBAoAAAAAAIdO4kAAAAAAAAAAAAAAAAAEAAAAZHJzL1BLAwQUAAAACACHTuJAAomDftgAAAAI&#10;AQAADwAAAGRycy9kb3ducmV2LnhtbE2PwU7DMBBE70j8g7VIXFDrJMKpG+L0gOCIKgpFcHPiJYmI&#10;11HsNu3f457gODujmbfl5mQHdsTJ944UpMsEGFLjTE+tgve354UE5oMmowdHqOCMHjbV9VWpC+Nm&#10;esXjLrQslpAvtIIuhLHg3DcdWu2XbkSK3rebrA5RTi03k55juR14liQ5t7qnuNDpER87bH52B6tg&#10;v5fZ+usz52K7fXmaa/FxvhOZUrc3afIALOAp/IXhgh/RoYpMtTuQ8WxQsJJ5TMa7TIFdfCnWwGoF&#10;ubgHXpX8/wPVL1BLAwQUAAAACACHTuJAUP8yjUwCAADZBAAADgAAAGRycy9lMm9Eb2MueG1srVTN&#10;jtMwEL4j8Q6W7zTprlqqqOlKUMoFAWJBnF3HSSz5D4/bpC8Ab8CJC/d9rj4HYyct1SJQD/SQTjzj&#10;mfm++SbLu14rshcepDUlnU5ySoThtpKmKemnj5tnC0ogMFMxZY0o6UEAvVs9fbLsXCFubGtVJTzB&#10;JAaKzpW0DcEVWQa8FZrBxDph0Flbr1nAV99klWcdZtcqu8nzedZZXzlvuQDA0/XgpGNGf01CW9eS&#10;i7XlOy1MGLJ6oVhASNBKB3SVuq1rwcO7ugYRiCopIg3piUXQ3sZntlqyovHMtZKPLbBrWniESTNp&#10;sOg51ZoFRnZe/pFKS+4t2DpMuNXZACQxgiim+SNu7lvmRMKCVIM7kw7/Ly1/u3/viaxKOqfEMI0D&#10;P37/dvzxcPz5lcwjPZ2DAqPuHcaF/oXtUTSnc8DDiLqvvY7/iIegH8k9nMkVfSAcD+eL6e1sRglH&#10;122eRxuzZ78vOw/htbCaRKOkHmeXKGX7NxCG0FPIyHS1kUoRb8NnGdpEVqyanIB3BoM4i3wNx+Cb&#10;7UvlyZ6hHDbpNzbRwGX0NI+/lOnfV7D95lRKSUNYXKJRVUEq8QFBDK2jxlK7sYwypEMWZ4vnkQ+G&#10;S1SjeNHUDgcBphkqWyXPV/7eBlyGRYLWDNoBYXJFgKzQMgifrFaw6pWpSDg4HLbBHaexGy0qSpTA&#10;T0K0UmRgUl0TiSQoE4uItHDjtKJuBn1EK/TbHpNGc2urA2qpw6VDsF92zGMHO+dl0+LYk7ayGIeK&#10;T/oYtzOu1OU72pdfpN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omDftgAAAAIAQAADwAAAAAA&#10;AAABACAAAAAiAAAAZHJzL2Rvd25yZXYueG1sUEsBAhQAFAAAAAgAh07iQFD/Mo1MAgAA2QQAAA4A&#10;AAAAAAAAAQAgAAAAJwEAAGRycy9lMm9Eb2MueG1sUEsFBgAAAAAGAAYAWQEAAOUFAAAAAA==&#10;">
                      <v:fill type="gradient" on="t" color2="#FFFFFF" angle="90" focus="100%" focussize="0,0">
                        <o:fill type="gradientUnscaled" v:ext="backwardCompatible"/>
                      </v:fill>
                      <v:stroke weight="1.25pt" color="#FFFFFF" joinstyle="miter"/>
                      <v:imagedata o:title=""/>
                      <o:lock v:ext="edit" aspectratio="f"/>
                      <v:textbox>
                        <w:txbxContent>
                          <w:p>
                            <w:pPr>
                              <w:rPr>
                                <w:sz w:val="20"/>
                              </w:rPr>
                            </w:pPr>
                            <w:r>
                              <w:rPr>
                                <w:rFonts w:hint="eastAsia"/>
                                <w:sz w:val="20"/>
                              </w:rPr>
                              <w:t>费率</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-95885</wp:posOffset>
                      </wp:positionH>
                      <wp:positionV relativeFrom="paragraph">
                        <wp:posOffset>481965</wp:posOffset>
                      </wp:positionV>
                      <wp:extent cx="1271270" cy="280035"/>
                      <wp:effectExtent l="7620" t="7620" r="16510" b="17145"/>
                      <wp:wrapNone/>
                      <wp:docPr id="7" name="文本框 7"/>
                      <wp:cNvGraphicFramePr/>
                      <a:graphic xmlns:a="http://schemas.openxmlformats.org/drawingml/2006/main">
                        <a:graphicData uri="http://schemas.microsoft.com/office/word/2010/wordprocessingShape">
                          <wps:wsp>
                            <wps:cNvSpPr txBox="1"/>
                            <wps:spPr>
                              <a:xfrm>
                                <a:off x="0" y="0"/>
                                <a:ext cx="1271270" cy="28003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pPr>
                                    <w:rPr>
                                      <w:sz w:val="18"/>
                                    </w:rPr>
                                  </w:pPr>
                                  <w:r>
                                    <w:rPr>
                                      <w:rFonts w:hint="eastAsia"/>
                                      <w:sz w:val="18"/>
                                    </w:rPr>
                                    <w:t>中标金额（万元）</w:t>
                                  </w:r>
                                </w:p>
                              </w:txbxContent>
                            </wps:txbx>
                            <wps:bodyPr wrap="square" upright="1"/>
                          </wps:wsp>
                        </a:graphicData>
                      </a:graphic>
                    </wp:anchor>
                  </w:drawing>
                </mc:Choice>
                <mc:Fallback>
                  <w:pict>
                    <v:shape id="_x0000_s1026" o:spid="_x0000_s1026" o:spt="202" type="#_x0000_t202" style="position:absolute;left:0pt;margin-left:-7.55pt;margin-top:37.95pt;height:22.05pt;width:100.1pt;z-index:-251657216;mso-width-relative:page;mso-height-relative:page;" fillcolor="#FFFFFF" filled="t" stroked="t" coordsize="21600,21600" o:gfxdata="UEsDBAoAAAAAAIdO4kAAAAAAAAAAAAAAAAAEAAAAZHJzL1BLAwQUAAAACACHTuJAxZwqYNkAAAAK&#10;AQAADwAAAGRycy9kb3ducmV2LnhtbE2PQU+DQBCF7yb+h82YeDHtAslWSll6MHo0jdUavS0wBSI7&#10;S9htaf+9w0lvM/Ne3vsm315sL844+s6RhngZgUCqXN1Ro+Hj/WWRgvDBUG16R6jhih62xe1NbrLa&#10;TfSG531oBIeQz4yGNoQhk9JXLVrjl25AYu3oRmsCr2Mj69FMHG57mUTRSlrTETe0ZsCnFquf/clq&#10;OBzSZP39tZJqt3t9nkr1eX1Qidb3d3G0ARHwEv7MMOMzOhTMVLoT1V70Ghaxitmq4VGtQcyGdD6U&#10;PHAxyCKX/18ofgFQSwMEFAAAAAgAh07iQMSPuI1LAgAA2gQAAA4AAABkcnMvZTJvRG9jLnhtbK1U&#10;Ta7TMBDeI3EHy3uatKi0ipo+CUrZIEA8EGvXcRJL/sPjNukF4Aas2LDnXD0HYyct1UOgLoiiZOL5&#10;/b6Zyequ14ochAdpTUmnk5wSYbitpGlK+vHD9smSEgjMVExZI0p6FEDv1o8frTpXiJltraqEJxjE&#10;QNG5krYhuCLLgLdCM5hYJwwqa+s1C/jpm6zyrMPoWmWzPH+WddZXzlsuAPB0MyjpGNHfEtDWteRi&#10;Y/leCxOGqF4oFhAStNIBXadq61rw8LauQQSiSopIQ3piEpR38ZmtV6xoPHOt5GMJ7JYSHmDSTBpM&#10;egm1YYGRvZd/hNKSewu2DhNudTYASYwgimn+gJv7ljmRsCDV4C6kw/8Ly98c3nkiq5IuKDFMY8NP&#10;376evv88/fhCFpGezkGBVvcO7UL/3PY4NOdzwMOIuq+9jm/EQ1CP5B4v5Io+EB6dZgu8UcVRN1vm&#10;+dN5DJP99nYewithNYlCST02L3HKDq8hDKZnk5HqaiuVIt6GTzK0ia2YNikBfQaBOIuEDcfgm90L&#10;5cmB4Txs0zUW0cC19TSPV4r0bxcsvzmnUtIQFrdoHKsglXiPIIbScchSuTGNMqRDRubLxRz5YLhF&#10;NU4vitphJ8A0Q2ar5MXl72XAtVkkaMOgHRAmVQTICi2D8ElqBatemoqEo8NuG1xyGqvRoqJECfwn&#10;RClZBibVLZZIgjIxiUgbN3YrDs4wIFEK/a7HoFHc2eqIw9Th1iHYz3vmsYK987Jpse1puLJohyOf&#10;5mNcz7hT198oX/+S1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wqYNkAAAAKAQAADwAAAAAA&#10;AAABACAAAAAiAAAAZHJzL2Rvd25yZXYueG1sUEsBAhQAFAAAAAgAh07iQMSPuI1LAgAA2gQAAA4A&#10;AAAAAAAAAQAgAAAAKAEAAGRycy9lMm9Eb2MueG1sUEsFBgAAAAAGAAYAWQEAAOUFAAAAAA==&#10;">
                      <v:fill type="gradient" on="t" color2="#FFFFFF" angle="90" focus="100%" focussize="0,0">
                        <o:fill type="gradientUnscaled" v:ext="backwardCompatible"/>
                      </v:fill>
                      <v:stroke weight="1.25pt" color="#FFFFFF" joinstyle="miter"/>
                      <v:imagedata o:title=""/>
                      <o:lock v:ext="edit" aspectratio="f"/>
                      <v:textbox>
                        <w:txbxContent>
                          <w:p>
                            <w:pPr>
                              <w:rPr>
                                <w:sz w:val="18"/>
                              </w:rPr>
                            </w:pPr>
                            <w:r>
                              <w:rPr>
                                <w:rFonts w:hint="eastAsia"/>
                                <w:sz w:val="18"/>
                              </w:rPr>
                              <w:t>中标金额（万元）</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1172845</wp:posOffset>
                      </wp:positionH>
                      <wp:positionV relativeFrom="paragraph">
                        <wp:posOffset>13970</wp:posOffset>
                      </wp:positionV>
                      <wp:extent cx="1076325" cy="742950"/>
                      <wp:effectExtent l="2540" t="3810" r="6985" b="15240"/>
                      <wp:wrapNone/>
                      <wp:docPr id="5" name="直接箭头连接符 5"/>
                      <wp:cNvGraphicFramePr/>
                      <a:graphic xmlns:a="http://schemas.openxmlformats.org/drawingml/2006/main">
                        <a:graphicData uri="http://schemas.microsoft.com/office/word/2010/wordprocessingShape">
                          <wps:wsp>
                            <wps:cNvCnPr/>
                            <wps:spPr>
                              <a:xfrm flipH="1" flipV="1">
                                <a:off x="0" y="0"/>
                                <a:ext cx="1076325" cy="74295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92.35pt;margin-top:1.1pt;height:58.5pt;width:84.75pt;z-index:251662336;mso-width-relative:page;mso-height-relative:page;" filled="f" stroked="t" coordsize="21600,21600" o:gfxdata="UEsDBAoAAAAAAIdO4kAAAAAAAAAAAAAAAAAEAAAAZHJzL1BLAwQUAAAACACHTuJAlJTgcdkAAAAJ&#10;AQAADwAAAGRycy9kb3ducmV2LnhtbE2PwU7DMBBE70j8g7VI3KjtUEoIcSqBQEL0Am1ViZsTL0nU&#10;2I5sN23/nuUEtx290exMuTzZgU0YYu+dAjkTwNA13vSuVbDdvN7kwGLSzujBO1RwxgjL6vKi1IXx&#10;R/eJ0zq1jEJcLLSCLqWx4Dw2HVodZ35ER+zbB6sTydByE/SRwu3AMyEW3Ore0YdOj/jcYbNfH6yC&#10;lax3Et/D19O0+OhSfn7ZiLe9UtdXUjwCS3hKf2b4rU/VoaJOtT84E9lAOp/fk1VBlgEjfns3p6Mm&#10;IB8y4FXJ/y+ofgBQSwMEFAAAAAgAh07iQGL17bIUAgAAEwQAAA4AAABkcnMvZTJvRG9jLnhtbK1T&#10;vY4TMRDukXgHyz3ZTY5cYJXNFQkHBYJI/PSO19615D95fNnkJXgBJCqgAqrreRo4HoOxN0TH0aRg&#10;i9U3Hs83882M5xc7o8lWBFDO1nQ8KikRlrtG2bamb15fPnhECURmG6adFTXdC6AXi/v35r2vxMR1&#10;TjciECSxUPW+pl2MvioK4J0wDEbOC4tO6YJhEc3QFk1gPbIbXUzK8rzoXWh8cFwA4OlqcNIDYziF&#10;0EmpuFg5fmWEjQNrEJpFlASd8kAXuVopBY8vpQQRia4pKo35j0kQb9K/WMxZ1QbmO8UPJbBTSrij&#10;yTBlMemRasUiI1dB/UNlFA8OnIwj7kwxCMkdQRXj8k5vXnXMi6wFWw3+2HT4f7T8xXYdiGpqOqXE&#10;MoMDv3l//fPdp5tvX398vP71/UPCXz6TaWpV76HCiKVdh4MFfh2S7p0Mhkit/DPcKZrR24SSD1WS&#10;XW75/thysYuE4+G4nJ2fTTA3R9/s4eTxNM+kGBhTtA8QnwpnSAI1hRiYaru4dNbidF0YcrDtc4hY&#10;Ewb+CUjB2pK+pmfjWcrAcFslbglC41Ex2DbXB06r5lJpnSIgtJulDmTL0sbkLylH3r+upSQrBt1w&#10;L7uGXeoEa57YhsS9x15afEI0lWBEQ4kW+OISQkJWRab0KTcxtbYpQOR9PuhMoxian9DGNfs8kyJZ&#10;uCu54sNep2W8bSO+/Z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lOBx2QAAAAkBAAAPAAAA&#10;AAAAAAEAIAAAACIAAABkcnMvZG93bnJldi54bWxQSwECFAAUAAAACACHTuJAYvXtshQCAAATBAAA&#10;DgAAAAAAAAABACAAAAAoAQAAZHJzL2Uyb0RvYy54bWxQSwUGAAAAAAYABgBZAQAArgUAAAAA&#10;">
                      <v:fill on="f" focussize="0,0"/>
                      <v:stroke weight="0.25pt" color="#000000" joinstyle="round"/>
                      <v:imagedata o:title=""/>
                      <o:lock v:ext="edit" aspectratio="f"/>
                    </v:shape>
                  </w:pict>
                </mc:Fallback>
              </mc:AlternateContent>
            </w: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394970</wp:posOffset>
                      </wp:positionV>
                      <wp:extent cx="2314575" cy="361950"/>
                      <wp:effectExtent l="635" t="4445" r="8890" b="14605"/>
                      <wp:wrapNone/>
                      <wp:docPr id="4" name="直接箭头连接符 4"/>
                      <wp:cNvGraphicFramePr/>
                      <a:graphic xmlns:a="http://schemas.openxmlformats.org/drawingml/2006/main">
                        <a:graphicData uri="http://schemas.microsoft.com/office/word/2010/wordprocessingShape">
                          <wps:wsp>
                            <wps:cNvCnPr/>
                            <wps:spPr>
                              <a:xfrm flipH="1" flipV="1">
                                <a:off x="0" y="0"/>
                                <a:ext cx="2314575" cy="36195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15pt;margin-top:31.1pt;height:28.5pt;width:182.25pt;z-index:251663360;mso-width-relative:page;mso-height-relative:page;" filled="f" stroked="t" coordsize="21600,21600" o:gfxdata="UEsDBAoAAAAAAIdO4kAAAAAAAAAAAAAAAAAEAAAAZHJzL1BLAwQUAAAACACHTuJAuCru1toAAAAK&#10;AQAADwAAAGRycy9kb3ducmV2LnhtbE2PwU7DMAyG70i8Q2QkbluSDqqtNJ0EAgnBZWwIabe0MU21&#10;JqmarNveHnOCmy1/+v395frsejbhGLvgFci5AIa+CabzrYLP3ctsCSwm7Y3ug0cFF4ywrq6vSl2Y&#10;cPIfOG1TyyjEx0IrsCkNBeexseh0nIcBPd2+w+h0onVsuRn1icJdzzMhcu505+mD1QM+WWwO26NT&#10;8C7rL4lv4/5xyjc2LS/PO/F6UOr2RooHYAnP6Q+GX31Sh4qc6nD0JrJewUyKBaEK8iwDRsDi/o6G&#10;mki5yoBXJf9fofoBUEsDBBQAAAAIAIdO4kBbFqSAEwIAABMEAAAOAAAAZHJzL2Uyb0RvYy54bWyt&#10;U72OEzEQ7pF4B8s92WwuOWCVzRUJBwWCSPz0jtfeteQ/eXzZ5CV4ASQqoAKq63kaOB6DsTdEx9Gk&#10;YIvVjMfzzXwzn+cXO6PJVgRQzta0HI0pEZa7Rtm2pm9eXz54RAlEZhumnRU13QugF4v79+a9r8TE&#10;dU43IhAEsVD1vqZdjL4qCuCdMAxGzguLQemCYRHd0BZNYD2iG11MxuPzoneh8cFxAYCnqyFID4jh&#10;FEAnpeJi5fiVETYOqEFoFpESdMoDXeRupRQ8vpQSRCS6psg05j8WQXuT/sVizqo2MN8pfmiBndLC&#10;HU6GKYtFj1ArFhm5CuofKKN4cOBkHHFnioFIngiyKMd3ZvOqY15kLjhq8Mehw/+D5S+260BUU9Mp&#10;JZYZXPjN++uf7z7dfPv64+P1r+8fkv3lM5mmUfUeKsxY2nU4eODXIfHeyWCI1Mo/Q03RbL1NVooh&#10;S7LLI98fRy52kXA8nJyV09nDGSUcY2fn5eNZ3kkxIKZsHyA+Fc6QZNQUYmCq7eLSWYvbdWGowbbP&#10;IWJPmPgnISVrS3rELXMFhmqVqBIsZjwyBtvm/sBp1VwqrVMGhHaz1IFsWVJM/hJzxP3rWiqyYtAN&#10;93Jo0FInWPPENiTuPc7S4hOiqQUjGkq0wBeXLARkVWRKn3ITS2ubEkTW84FnWsUw/GRtXLPPOymS&#10;h1rJHR90ncR420f79lt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Ku7W2gAAAAoBAAAPAAAA&#10;AAAAAAEAIAAAACIAAABkcnMvZG93bnJldi54bWxQSwECFAAUAAAACACHTuJAWxakgBMCAAATBAAA&#10;DgAAAAAAAAABACAAAAApAQAAZHJzL2Uyb0RvYy54bWxQSwUGAAAAAAYABgBZAQAArgUAAAAA&#10;">
                      <v:fill on="f" focussize="0,0"/>
                      <v:stroke weight="0.25pt" color="#000000" joinstyle="round"/>
                      <v:imagedata o:title=""/>
                      <o:lock v:ext="edit" aspectratio="f"/>
                    </v:shape>
                  </w:pict>
                </mc:Fallback>
              </mc:AlternateConten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工程</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货物</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500以下</w: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1.20%</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1.50%</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500-1000</w: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0.80%</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0.80%</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1000-5000</w: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0.50%</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0.50%</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5000-10000</w: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0.30%</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0.30%</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10000-50000</w:t>
            </w:r>
          </w:p>
        </w:tc>
        <w:tc>
          <w:tcPr>
            <w:tcW w:w="1525" w:type="dxa"/>
            <w:noWrap w:val="0"/>
            <w:vAlign w:val="center"/>
          </w:tcPr>
          <w:p>
            <w:pPr>
              <w:pStyle w:val="2"/>
              <w:spacing w:line="560" w:lineRule="exact"/>
              <w:ind w:firstLine="480"/>
              <w:rPr>
                <w:rFonts w:ascii="宋体" w:hAnsi="宋体" w:cs="宋体"/>
                <w:sz w:val="24"/>
              </w:rPr>
            </w:pPr>
            <w:r>
              <w:rPr>
                <w:rFonts w:hint="eastAsia" w:ascii="宋体" w:hAnsi="宋体" w:cs="宋体"/>
                <w:sz w:val="24"/>
              </w:rPr>
              <w:t>0.10%</w:t>
            </w:r>
          </w:p>
        </w:tc>
        <w:tc>
          <w:tcPr>
            <w:tcW w:w="2061" w:type="dxa"/>
            <w:noWrap w:val="0"/>
            <w:vAlign w:val="center"/>
          </w:tcPr>
          <w:p>
            <w:pPr>
              <w:pStyle w:val="2"/>
              <w:spacing w:line="560" w:lineRule="exact"/>
              <w:ind w:firstLine="480"/>
              <w:rPr>
                <w:rFonts w:ascii="宋体" w:hAnsi="宋体" w:cs="宋体"/>
                <w:sz w:val="24"/>
              </w:rPr>
            </w:pPr>
            <w:r>
              <w:rPr>
                <w:rFonts w:hint="eastAsia" w:ascii="宋体" w:hAnsi="宋体" w:cs="宋体"/>
                <w:sz w:val="24"/>
              </w:rPr>
              <w:t>0.10%</w:t>
            </w:r>
          </w:p>
        </w:tc>
        <w:tc>
          <w:tcPr>
            <w:tcW w:w="2060" w:type="dxa"/>
            <w:noWrap w:val="0"/>
            <w:vAlign w:val="center"/>
          </w:tcPr>
          <w:p>
            <w:pPr>
              <w:pStyle w:val="2"/>
              <w:spacing w:line="560" w:lineRule="exact"/>
              <w:ind w:firstLine="480"/>
              <w:rPr>
                <w:rFonts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50000-100000</w:t>
            </w:r>
          </w:p>
        </w:tc>
        <w:tc>
          <w:tcPr>
            <w:tcW w:w="1525" w:type="dxa"/>
            <w:noWrap w:val="0"/>
            <w:vAlign w:val="top"/>
          </w:tcPr>
          <w:p>
            <w:pPr>
              <w:pStyle w:val="2"/>
              <w:spacing w:line="560" w:lineRule="exact"/>
              <w:ind w:firstLine="480"/>
              <w:rPr>
                <w:rFonts w:ascii="宋体" w:hAnsi="宋体" w:cs="宋体"/>
                <w:sz w:val="24"/>
              </w:rPr>
            </w:pPr>
            <w:r>
              <w:rPr>
                <w:rFonts w:hint="eastAsia" w:ascii="宋体" w:hAnsi="宋体" w:cs="宋体"/>
                <w:sz w:val="24"/>
              </w:rPr>
              <w:t>0.05%</w:t>
            </w:r>
          </w:p>
        </w:tc>
        <w:tc>
          <w:tcPr>
            <w:tcW w:w="2061" w:type="dxa"/>
            <w:noWrap w:val="0"/>
            <w:vAlign w:val="top"/>
          </w:tcPr>
          <w:p>
            <w:pPr>
              <w:pStyle w:val="2"/>
              <w:spacing w:line="560" w:lineRule="exact"/>
              <w:ind w:firstLine="480"/>
              <w:rPr>
                <w:rFonts w:ascii="宋体" w:hAnsi="宋体" w:cs="宋体"/>
                <w:sz w:val="24"/>
              </w:rPr>
            </w:pPr>
            <w:r>
              <w:rPr>
                <w:rFonts w:hint="eastAsia" w:ascii="宋体" w:hAnsi="宋体" w:cs="宋体"/>
                <w:sz w:val="24"/>
              </w:rPr>
              <w:t>0.05%</w:t>
            </w:r>
          </w:p>
        </w:tc>
        <w:tc>
          <w:tcPr>
            <w:tcW w:w="2060" w:type="dxa"/>
            <w:noWrap w:val="0"/>
            <w:vAlign w:val="center"/>
          </w:tcPr>
          <w:p>
            <w:pPr>
              <w:pStyle w:val="2"/>
              <w:spacing w:line="560" w:lineRule="exact"/>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40" w:type="dxa"/>
            <w:noWrap w:val="0"/>
            <w:vAlign w:val="center"/>
          </w:tcPr>
          <w:p>
            <w:pPr>
              <w:pStyle w:val="2"/>
              <w:spacing w:line="560" w:lineRule="exact"/>
              <w:ind w:firstLine="480"/>
              <w:rPr>
                <w:rFonts w:ascii="宋体" w:hAnsi="宋体" w:cs="宋体"/>
                <w:sz w:val="24"/>
              </w:rPr>
            </w:pPr>
            <w:r>
              <w:rPr>
                <w:rFonts w:hint="eastAsia" w:ascii="宋体" w:hAnsi="宋体" w:cs="宋体"/>
                <w:sz w:val="24"/>
              </w:rPr>
              <w:t>100000以上</w:t>
            </w:r>
          </w:p>
        </w:tc>
        <w:tc>
          <w:tcPr>
            <w:tcW w:w="1525" w:type="dxa"/>
            <w:noWrap w:val="0"/>
            <w:vAlign w:val="top"/>
          </w:tcPr>
          <w:p>
            <w:pPr>
              <w:pStyle w:val="2"/>
              <w:spacing w:line="560" w:lineRule="exact"/>
              <w:ind w:firstLine="480"/>
              <w:rPr>
                <w:rFonts w:ascii="宋体" w:hAnsi="宋体" w:cs="宋体"/>
                <w:sz w:val="24"/>
              </w:rPr>
            </w:pPr>
            <w:r>
              <w:rPr>
                <w:rFonts w:hint="eastAsia" w:ascii="宋体" w:hAnsi="宋体" w:cs="宋体"/>
                <w:sz w:val="24"/>
              </w:rPr>
              <w:t>0.01%</w:t>
            </w:r>
          </w:p>
        </w:tc>
        <w:tc>
          <w:tcPr>
            <w:tcW w:w="2061" w:type="dxa"/>
            <w:noWrap w:val="0"/>
            <w:vAlign w:val="top"/>
          </w:tcPr>
          <w:p>
            <w:pPr>
              <w:pStyle w:val="2"/>
              <w:spacing w:line="560" w:lineRule="exact"/>
              <w:ind w:firstLine="480"/>
              <w:rPr>
                <w:rFonts w:ascii="宋体" w:hAnsi="宋体" w:cs="宋体"/>
                <w:sz w:val="24"/>
              </w:rPr>
            </w:pPr>
            <w:r>
              <w:rPr>
                <w:rFonts w:hint="eastAsia" w:ascii="宋体" w:hAnsi="宋体" w:cs="宋体"/>
                <w:sz w:val="24"/>
              </w:rPr>
              <w:t>0.01%</w:t>
            </w:r>
          </w:p>
        </w:tc>
        <w:tc>
          <w:tcPr>
            <w:tcW w:w="2060" w:type="dxa"/>
            <w:noWrap w:val="0"/>
            <w:vAlign w:val="center"/>
          </w:tcPr>
          <w:p>
            <w:pPr>
              <w:pStyle w:val="2"/>
              <w:spacing w:line="560" w:lineRule="exact"/>
              <w:ind w:firstLine="480"/>
              <w:rPr>
                <w:rFonts w:ascii="宋体" w:hAnsi="宋体" w:cs="宋体"/>
                <w:sz w:val="24"/>
              </w:rPr>
            </w:pPr>
          </w:p>
        </w:tc>
      </w:tr>
    </w:tbl>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注：1、招标代理服务收费按差额定率累进法计算。以每个中标通知书的中标金额为计费基数。</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例如：某工程招标代理业务中标金额为10000万元，计算招标代理费额如下：</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500万元×1.2%=6万元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（1000-500）×0.8%=4万元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（5000-1000）×0.5%=20万元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（10000-5000）×0.3%=15万元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合计收费=6+4+20+15=45万元</w:t>
      </w:r>
    </w:p>
    <w:p>
      <w:pPr>
        <w:ind w:left="420"/>
        <w:rPr>
          <w:rFonts w:hint="eastAsia" w:ascii="宋体" w:hAnsi="宋体" w:cs="宋体"/>
          <w:sz w:val="30"/>
          <w:szCs w:val="30"/>
        </w:rPr>
      </w:pPr>
      <w:r>
        <w:rPr>
          <w:rFonts w:hint="eastAsia" w:ascii="楷体" w:hAnsi="楷体" w:eastAsia="楷体" w:cs="宋体"/>
          <w:kern w:val="0"/>
          <w:sz w:val="32"/>
          <w:szCs w:val="32"/>
        </w:rPr>
        <w:t>（二）</w:t>
      </w:r>
      <w:r>
        <w:rPr>
          <w:rFonts w:hint="eastAsia" w:ascii="宋体" w:hAnsi="宋体" w:cs="宋体"/>
          <w:kern w:val="0"/>
          <w:sz w:val="30"/>
          <w:szCs w:val="30"/>
        </w:rPr>
        <w:t>工程造价咨询收费：</w:t>
      </w:r>
    </w:p>
    <w:p>
      <w:pPr>
        <w:pStyle w:val="2"/>
        <w:ind w:firstLine="600"/>
        <w:rPr>
          <w:rFonts w:hint="eastAsia" w:ascii="仿宋" w:hAnsi="仿宋" w:eastAsia="仿宋" w:cs="宋体"/>
          <w:kern w:val="0"/>
          <w:sz w:val="32"/>
          <w:szCs w:val="32"/>
        </w:rPr>
      </w:pPr>
      <w:r>
        <w:rPr>
          <w:rFonts w:hint="eastAsia" w:ascii="宋体" w:hAnsi="宋体" w:cs="宋体"/>
          <w:sz w:val="30"/>
          <w:szCs w:val="30"/>
        </w:rPr>
        <w:t>工程造价咨询收费按照《内蒙古自治区建设工程造价咨询服务收费指导意见》（内工建协（2022）35号）指导标准的50%执行，不足3000元按照3000元收取。由项目单位项目资金支付，项目单位办理支付手续。</w:t>
      </w:r>
    </w:p>
    <w:p>
      <w:pPr>
        <w:pStyle w:val="2"/>
        <w:ind w:firstLine="0" w:firstLineChars="0"/>
        <w:rPr>
          <w:rFonts w:ascii="仿宋" w:hAnsi="仿宋" w:eastAsia="仿宋" w:cs="宋体"/>
          <w:bCs/>
          <w:kern w:val="0"/>
          <w:sz w:val="32"/>
          <w:szCs w:val="32"/>
        </w:rPr>
      </w:pPr>
      <w:r>
        <w:rPr>
          <w:rFonts w:ascii="仿宋" w:hAnsi="仿宋" w:eastAsia="仿宋" w:cs="宋体"/>
          <w:bCs/>
          <w:kern w:val="0"/>
          <w:sz w:val="32"/>
          <w:szCs w:val="32"/>
        </w:rPr>
        <w:drawing>
          <wp:inline distT="0" distB="0" distL="114300" distR="114300">
            <wp:extent cx="5273675" cy="2915920"/>
            <wp:effectExtent l="0" t="0" r="3175" b="17780"/>
            <wp:docPr id="2"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
                    <pic:cNvPicPr>
                      <a:picLocks noChangeAspect="1"/>
                    </pic:cNvPicPr>
                  </pic:nvPicPr>
                  <pic:blipFill>
                    <a:blip r:embed="rId5"/>
                    <a:stretch>
                      <a:fillRect/>
                    </a:stretch>
                  </pic:blipFill>
                  <pic:spPr>
                    <a:xfrm>
                      <a:off x="0" y="0"/>
                      <a:ext cx="5273675" cy="2915920"/>
                    </a:xfrm>
                    <a:prstGeom prst="rect">
                      <a:avLst/>
                    </a:prstGeom>
                    <a:noFill/>
                    <a:ln>
                      <a:noFill/>
                    </a:ln>
                  </pic:spPr>
                </pic:pic>
              </a:graphicData>
            </a:graphic>
          </wp:inline>
        </w:drawing>
      </w:r>
    </w:p>
    <w:p>
      <w:pPr>
        <w:pStyle w:val="2"/>
        <w:ind w:firstLine="0" w:firstLineChars="0"/>
        <w:rPr>
          <w:rFonts w:ascii="仿宋" w:hAnsi="仿宋" w:eastAsia="仿宋" w:cs="宋体"/>
          <w:bCs/>
          <w:kern w:val="0"/>
          <w:sz w:val="32"/>
          <w:szCs w:val="32"/>
        </w:rPr>
      </w:pPr>
    </w:p>
    <w:p>
      <w:pPr>
        <w:pStyle w:val="2"/>
        <w:ind w:firstLine="0" w:firstLineChars="0"/>
        <w:rPr>
          <w:rFonts w:ascii="仿宋" w:hAnsi="仿宋" w:eastAsia="仿宋" w:cs="宋体"/>
          <w:bCs/>
          <w:kern w:val="0"/>
          <w:sz w:val="32"/>
          <w:szCs w:val="32"/>
        </w:rPr>
      </w:pPr>
      <w:r>
        <w:rPr>
          <w:rFonts w:ascii="仿宋" w:hAnsi="仿宋" w:eastAsia="仿宋" w:cs="宋体"/>
          <w:bCs/>
          <w:kern w:val="0"/>
          <w:sz w:val="32"/>
          <w:szCs w:val="32"/>
        </w:rPr>
        <w:drawing>
          <wp:inline distT="0" distB="0" distL="114300" distR="114300">
            <wp:extent cx="5273040" cy="3049905"/>
            <wp:effectExtent l="0" t="0" r="3810" b="17145"/>
            <wp:docPr id="3"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
                    <pic:cNvPicPr>
                      <a:picLocks noChangeAspect="1"/>
                    </pic:cNvPicPr>
                  </pic:nvPicPr>
                  <pic:blipFill>
                    <a:blip r:embed="rId6"/>
                    <a:stretch>
                      <a:fillRect/>
                    </a:stretch>
                  </pic:blipFill>
                  <pic:spPr>
                    <a:xfrm>
                      <a:off x="0" y="0"/>
                      <a:ext cx="5273040" cy="3049905"/>
                    </a:xfrm>
                    <a:prstGeom prst="rect">
                      <a:avLst/>
                    </a:prstGeom>
                    <a:noFill/>
                    <a:ln>
                      <a:noFill/>
                    </a:ln>
                  </pic:spPr>
                </pic:pic>
              </a:graphicData>
            </a:graphic>
          </wp:inline>
        </w:drawing>
      </w:r>
    </w:p>
    <w:p>
      <w:pPr>
        <w:pStyle w:val="2"/>
        <w:ind w:firstLine="0" w:firstLineChars="0"/>
        <w:rPr>
          <w:rFonts w:hint="eastAsia" w:ascii="宋体" w:hAnsi="宋体" w:cs="宋体"/>
          <w:sz w:val="30"/>
          <w:szCs w:val="30"/>
        </w:rPr>
      </w:pPr>
      <w:r>
        <w:rPr>
          <w:rFonts w:ascii="仿宋" w:hAnsi="仿宋" w:eastAsia="仿宋" w:cs="宋体"/>
          <w:bCs/>
          <w:kern w:val="0"/>
          <w:sz w:val="32"/>
          <w:szCs w:val="32"/>
        </w:rPr>
        <w:drawing>
          <wp:inline distT="0" distB="0" distL="114300" distR="114300">
            <wp:extent cx="5267960" cy="2567940"/>
            <wp:effectExtent l="0" t="0" r="8890" b="3810"/>
            <wp:docPr id="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3"/>
                    <pic:cNvPicPr>
                      <a:picLocks noChangeAspect="1"/>
                    </pic:cNvPicPr>
                  </pic:nvPicPr>
                  <pic:blipFill>
                    <a:blip r:embed="rId7"/>
                    <a:stretch>
                      <a:fillRect/>
                    </a:stretch>
                  </pic:blipFill>
                  <pic:spPr>
                    <a:xfrm>
                      <a:off x="0" y="0"/>
                      <a:ext cx="5267960" cy="2567940"/>
                    </a:xfrm>
                    <a:prstGeom prst="rect">
                      <a:avLst/>
                    </a:prstGeom>
                    <a:noFill/>
                    <a:ln>
                      <a:noFill/>
                    </a:ln>
                  </pic:spPr>
                </pic:pic>
              </a:graphicData>
            </a:graphic>
          </wp:inline>
        </w:drawing>
      </w:r>
    </w:p>
    <w:p>
      <w:pPr>
        <w:spacing w:line="540" w:lineRule="exact"/>
        <w:ind w:firstLine="640" w:firstLineChars="200"/>
        <w:rPr>
          <w:rFonts w:ascii="黑体" w:hAnsi="黑体" w:eastAsia="黑体" w:cs="宋体"/>
          <w:sz w:val="32"/>
          <w:szCs w:val="32"/>
        </w:rPr>
      </w:pPr>
      <w:r>
        <w:rPr>
          <w:rFonts w:hint="eastAsia" w:ascii="黑体" w:hAnsi="黑体" w:eastAsia="黑体" w:cs="宋体"/>
          <w:sz w:val="32"/>
          <w:szCs w:val="32"/>
        </w:rPr>
        <w:t>四、服务期限</w:t>
      </w:r>
    </w:p>
    <w:p>
      <w:pPr>
        <w:pStyle w:val="8"/>
        <w:shd w:val="clear" w:color="auto" w:fill="FFFFFF"/>
        <w:spacing w:before="0" w:beforeAutospacing="0" w:after="0" w:afterAutospacing="0"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自合同签订之日起3年。</w:t>
      </w:r>
    </w:p>
    <w:p>
      <w:pPr>
        <w:pStyle w:val="8"/>
        <w:shd w:val="clear" w:color="auto" w:fill="FFFFFF"/>
        <w:spacing w:before="0" w:beforeAutospacing="0" w:after="0" w:afterAutospacing="0" w:line="560" w:lineRule="exact"/>
        <w:ind w:firstLine="640" w:firstLineChars="200"/>
        <w:jc w:val="both"/>
        <w:rPr>
          <w:rFonts w:ascii="仿宋" w:hAnsi="仿宋" w:eastAsia="仿宋"/>
          <w:b/>
          <w:bCs/>
          <w:sz w:val="32"/>
          <w:szCs w:val="32"/>
        </w:rPr>
      </w:pPr>
      <w:r>
        <w:rPr>
          <w:rFonts w:hint="eastAsia" w:ascii="仿宋" w:hAnsi="仿宋" w:eastAsia="仿宋" w:cs="仿宋_GB2312"/>
          <w:sz w:val="32"/>
          <w:szCs w:val="32"/>
          <w:shd w:val="clear" w:color="auto" w:fill="FFFFFF"/>
        </w:rPr>
        <w:t>如学校因故未能按期遴选或签订合同则继续委托代理业务至新入围代理机构与学校签订合同，以保证采购工作正常进行。</w:t>
      </w:r>
    </w:p>
    <w:p>
      <w:pPr>
        <w:spacing w:line="540" w:lineRule="exact"/>
        <w:ind w:firstLine="640" w:firstLineChars="200"/>
        <w:jc w:val="left"/>
        <w:rPr>
          <w:rFonts w:ascii="黑体" w:hAnsi="黑体" w:eastAsia="黑体"/>
          <w:sz w:val="32"/>
          <w:szCs w:val="32"/>
        </w:rPr>
      </w:pPr>
      <w:r>
        <w:rPr>
          <w:rFonts w:hint="eastAsia" w:ascii="黑体" w:hAnsi="黑体" w:eastAsia="黑体" w:cs="宋体"/>
          <w:sz w:val="32"/>
          <w:szCs w:val="32"/>
        </w:rPr>
        <w:t>五、质量标准和验收</w:t>
      </w:r>
    </w:p>
    <w:p>
      <w:pPr>
        <w:spacing w:line="540" w:lineRule="exact"/>
        <w:ind w:firstLine="646" w:firstLineChars="202"/>
        <w:rPr>
          <w:rFonts w:ascii="仿宋" w:hAnsi="仿宋" w:eastAsia="仿宋"/>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乙方应保证提供的服务完全符合合同规定的要求。</w:t>
      </w:r>
    </w:p>
    <w:p>
      <w:pPr>
        <w:spacing w:line="540" w:lineRule="exact"/>
        <w:ind w:firstLine="646" w:firstLineChars="202"/>
        <w:rPr>
          <w:rFonts w:ascii="仿宋" w:hAnsi="仿宋" w:eastAsia="仿宋"/>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乙方承诺提供给甲方的采购代理等服务与合同服务内容及要求相一致。</w:t>
      </w:r>
    </w:p>
    <w:p>
      <w:pPr>
        <w:spacing w:line="540" w:lineRule="exact"/>
        <w:ind w:firstLine="646" w:firstLineChars="202"/>
        <w:jc w:val="left"/>
        <w:rPr>
          <w:rFonts w:ascii="仿宋" w:hAnsi="仿宋" w:eastAsia="仿宋"/>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甲方对合同中采购代理服务进行检验，检验应依据自治区本级政府采购的有关规定进行。</w:t>
      </w:r>
    </w:p>
    <w:p>
      <w:pPr>
        <w:spacing w:line="540" w:lineRule="exact"/>
        <w:ind w:firstLine="729" w:firstLineChars="228"/>
        <w:jc w:val="left"/>
        <w:rPr>
          <w:rFonts w:ascii="黑体" w:hAnsi="黑体" w:eastAsia="黑体"/>
          <w:sz w:val="32"/>
          <w:szCs w:val="32"/>
        </w:rPr>
      </w:pPr>
      <w:r>
        <w:rPr>
          <w:rFonts w:hint="eastAsia" w:ascii="黑体" w:hAnsi="黑体" w:eastAsia="黑体" w:cs="宋体"/>
          <w:sz w:val="32"/>
          <w:szCs w:val="32"/>
        </w:rPr>
        <w:t>六、违约责任</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代理服务过程中，乙方出现下列情形：</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乙方未按照合同规定的要求提供采购、招标代理服务；</w:t>
      </w:r>
    </w:p>
    <w:p>
      <w:pPr>
        <w:spacing w:line="540" w:lineRule="exact"/>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乙方被依法取消资格，被依法责令停业且在处罚期内，财产依法被接管、冻结的；</w:t>
      </w:r>
    </w:p>
    <w:p>
      <w:pPr>
        <w:spacing w:line="540" w:lineRule="exact"/>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涂改、出租、出借、转让资格证书的，给学校造成重大损失或不良影响的；</w:t>
      </w:r>
    </w:p>
    <w:p>
      <w:pPr>
        <w:spacing w:line="540" w:lineRule="exact"/>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在提供采购、招标代理服务工作中</w:t>
      </w:r>
      <w:r>
        <w:rPr>
          <w:rFonts w:hint="eastAsia" w:ascii="仿宋" w:hAnsi="仿宋" w:eastAsia="仿宋" w:cs="仿宋_GB2312"/>
          <w:sz w:val="32"/>
          <w:szCs w:val="32"/>
          <w:shd w:val="clear" w:color="auto" w:fill="FFFFFF"/>
        </w:rPr>
        <w:t>对学校造成重大损失和不良影响的,或</w:t>
      </w:r>
      <w:r>
        <w:rPr>
          <w:rFonts w:hint="eastAsia" w:ascii="仿宋" w:hAnsi="仿宋" w:eastAsia="仿宋" w:cs="宋体"/>
          <w:sz w:val="32"/>
          <w:szCs w:val="32"/>
        </w:rPr>
        <w:t>受到财政部门禁止代理政府采购业务处罚的；</w:t>
      </w:r>
    </w:p>
    <w:p>
      <w:pPr>
        <w:spacing w:line="5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乙方应当及时停止代理业务，甲方有权取消其代理资格，依据《中华人民共和国民法典》第5</w:t>
      </w:r>
      <w:r>
        <w:rPr>
          <w:rFonts w:ascii="仿宋" w:hAnsi="仿宋" w:eastAsia="仿宋" w:cs="宋体"/>
          <w:sz w:val="32"/>
          <w:szCs w:val="32"/>
        </w:rPr>
        <w:t>66</w:t>
      </w:r>
      <w:r>
        <w:rPr>
          <w:rFonts w:hint="eastAsia" w:ascii="仿宋" w:hAnsi="仿宋" w:eastAsia="仿宋" w:cs="宋体"/>
          <w:sz w:val="32"/>
          <w:szCs w:val="32"/>
        </w:rPr>
        <w:t>条相关规定解除本委托代理合同，并要求乙方承担违约责任，向甲方支付违约金的数额与项目代理服务费一致，若给甲方造成的实际损失超过代理服务费的项目，按实际损失赔偿。</w:t>
      </w:r>
    </w:p>
    <w:p>
      <w:pPr>
        <w:spacing w:line="540" w:lineRule="exact"/>
        <w:ind w:firstLine="729" w:firstLineChars="228"/>
        <w:jc w:val="left"/>
        <w:rPr>
          <w:rFonts w:ascii="黑体" w:hAnsi="黑体" w:eastAsia="黑体"/>
          <w:sz w:val="32"/>
          <w:szCs w:val="32"/>
        </w:rPr>
      </w:pPr>
      <w:r>
        <w:rPr>
          <w:rFonts w:hint="eastAsia" w:ascii="黑体" w:hAnsi="黑体" w:eastAsia="黑体" w:cs="宋体"/>
          <w:sz w:val="32"/>
          <w:szCs w:val="32"/>
        </w:rPr>
        <w:t>七、不可抗力</w:t>
      </w:r>
    </w:p>
    <w:p>
      <w:pPr>
        <w:spacing w:line="540" w:lineRule="exact"/>
        <w:ind w:firstLine="729" w:firstLineChars="228"/>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不可抗力指不能预见、不能避免并不能克服的客观情况。</w:t>
      </w:r>
    </w:p>
    <w:p>
      <w:pPr>
        <w:spacing w:line="540" w:lineRule="exact"/>
        <w:ind w:firstLine="729" w:firstLineChars="228"/>
        <w:rPr>
          <w:rFonts w:ascii="仿宋" w:hAnsi="仿宋" w:eastAsia="仿宋"/>
          <w:sz w:val="32"/>
          <w:szCs w:val="32"/>
        </w:rPr>
      </w:pPr>
      <w:r>
        <w:rPr>
          <w:rFonts w:ascii="仿宋" w:hAnsi="仿宋" w:eastAsia="仿宋" w:cs="宋体"/>
          <w:sz w:val="32"/>
          <w:szCs w:val="32"/>
        </w:rPr>
        <w:t>2.</w:t>
      </w:r>
      <w:r>
        <w:rPr>
          <w:rFonts w:hint="eastAsia" w:ascii="仿宋" w:hAnsi="仿宋" w:eastAsia="仿宋" w:cs="宋体"/>
          <w:sz w:val="32"/>
          <w:szCs w:val="32"/>
        </w:rPr>
        <w:t>因不可抗力不能履行合同的，根据不可抗力的影响，部分或者全部免除责任，但法律另有规定的除外。</w:t>
      </w:r>
    </w:p>
    <w:p>
      <w:pPr>
        <w:spacing w:line="540" w:lineRule="exact"/>
        <w:ind w:firstLine="729" w:firstLineChars="228"/>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一方因不可抗力不能履行合同的，应当及时通知对方，以减轻可能给对方造成的损失，并应当在合理期限内提供证明。</w:t>
      </w:r>
    </w:p>
    <w:p>
      <w:pPr>
        <w:pStyle w:val="9"/>
        <w:spacing w:line="540" w:lineRule="exact"/>
        <w:ind w:firstLine="640" w:firstLineChars="200"/>
        <w:rPr>
          <w:rFonts w:ascii="仿宋" w:hAnsi="仿宋" w:eastAsia="仿宋"/>
          <w:sz w:val="32"/>
          <w:szCs w:val="32"/>
        </w:rPr>
      </w:pPr>
      <w:r>
        <w:rPr>
          <w:rFonts w:hint="eastAsia" w:ascii="仿宋" w:hAnsi="仿宋" w:eastAsia="仿宋" w:cs="宋体"/>
          <w:sz w:val="32"/>
          <w:szCs w:val="32"/>
        </w:rPr>
        <w:t>4.代理业务期间如遇国家、自治区、赤峰市与代理机构相关政策调整，按照新规定执行。</w:t>
      </w:r>
    </w:p>
    <w:p>
      <w:pPr>
        <w:spacing w:line="540" w:lineRule="exact"/>
        <w:ind w:firstLine="729" w:firstLineChars="228"/>
        <w:jc w:val="left"/>
        <w:rPr>
          <w:rFonts w:ascii="黑体" w:hAnsi="黑体" w:eastAsia="黑体" w:cs="宋体"/>
          <w:sz w:val="32"/>
          <w:szCs w:val="32"/>
        </w:rPr>
      </w:pPr>
      <w:r>
        <w:rPr>
          <w:rFonts w:hint="eastAsia" w:ascii="黑体" w:hAnsi="黑体" w:eastAsia="黑体" w:cs="宋体"/>
          <w:sz w:val="32"/>
          <w:szCs w:val="32"/>
        </w:rPr>
        <w:t>八、争议解决</w:t>
      </w:r>
    </w:p>
    <w:p>
      <w:pPr>
        <w:spacing w:line="540" w:lineRule="exact"/>
        <w:ind w:firstLine="729" w:firstLineChars="228"/>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履行合同过程中发生争议，双方应通过友好协商解决；经协商不能达成协议时，则双方同意在甲方住所地有管辖权的人民法院提起诉讼。</w:t>
      </w:r>
    </w:p>
    <w:p>
      <w:pPr>
        <w:spacing w:line="540" w:lineRule="exact"/>
        <w:ind w:firstLine="729" w:firstLineChars="228"/>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本合同生效后，双方均应全面、诚信履行本合同约定内容。任何一方不履行或不完全履行本合同约定义务的，应按合同约定承担违约责任，并赔偿由此给守约方造成的损失，包括守约方为实现债权而支付的各项费用（包括但不限于律师费、保全费、诉讼费、公证费、鉴定费等）。</w:t>
      </w:r>
    </w:p>
    <w:p>
      <w:pPr>
        <w:spacing w:line="540" w:lineRule="exact"/>
        <w:ind w:firstLine="729" w:firstLineChars="228"/>
        <w:jc w:val="left"/>
        <w:rPr>
          <w:rFonts w:hint="eastAsia" w:ascii="仿宋" w:hAnsi="仿宋" w:eastAsia="仿宋" w:cs="仿宋_GB2312"/>
          <w:sz w:val="32"/>
          <w:szCs w:val="32"/>
          <w:shd w:val="clear" w:color="auto" w:fill="FFFFFF"/>
        </w:rPr>
      </w:pPr>
      <w:r>
        <w:rPr>
          <w:rFonts w:hint="eastAsia" w:ascii="黑体" w:hAnsi="黑体" w:eastAsia="黑体" w:cs="宋体"/>
          <w:sz w:val="32"/>
          <w:szCs w:val="32"/>
        </w:rPr>
        <w:t>九、合同补充、修改或变更</w:t>
      </w:r>
    </w:p>
    <w:p>
      <w:pPr>
        <w:pStyle w:val="8"/>
        <w:shd w:val="clear" w:color="auto" w:fill="FFFFFF"/>
        <w:spacing w:before="0" w:beforeAutospacing="0" w:after="0" w:afterAutospacing="0" w:line="540" w:lineRule="exact"/>
        <w:ind w:firstLine="640" w:firstLineChars="200"/>
        <w:jc w:val="both"/>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本合同执行期间如与国家、自治区、赤峰市新出台的政策、文件、规定不一致的，以新出台的政策文件规定为准，无需修订本合同。</w:t>
      </w:r>
    </w:p>
    <w:p>
      <w:pPr>
        <w:pStyle w:val="8"/>
        <w:shd w:val="clear" w:color="auto" w:fill="FFFFFF"/>
        <w:spacing w:before="0" w:beforeAutospacing="0" w:after="0" w:afterAutospacing="0" w:line="540" w:lineRule="exact"/>
        <w:ind w:firstLine="640" w:firstLineChars="200"/>
        <w:jc w:val="both"/>
      </w:pPr>
      <w:r>
        <w:rPr>
          <w:rFonts w:hint="eastAsia" w:ascii="仿宋" w:hAnsi="仿宋" w:eastAsia="仿宋" w:cs="仿宋_GB2312"/>
          <w:sz w:val="32"/>
          <w:szCs w:val="32"/>
          <w:shd w:val="clear" w:color="auto" w:fill="FFFFFF"/>
        </w:rPr>
        <w:t>委托代理机构采购（招标）项目所产生的采购（招标）文件、材料包括但不限于委托协议（建设工程招标代理合同）、采购文件（招标文件），均以国家、自治区、赤峰市新出台的政策文件规定进行修正（补遗）或澄清，由项目单位、代理机构共同负责办理具体事项。</w:t>
      </w:r>
    </w:p>
    <w:p>
      <w:pPr>
        <w:spacing w:line="540" w:lineRule="exact"/>
        <w:ind w:firstLine="729" w:firstLineChars="228"/>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双方协商一致，可以依法对本合同进行补充、修改或变更。</w:t>
      </w:r>
    </w:p>
    <w:p>
      <w:pPr>
        <w:spacing w:line="540" w:lineRule="exact"/>
        <w:ind w:firstLine="729" w:firstLineChars="228"/>
        <w:rPr>
          <w:rFonts w:ascii="仿宋" w:hAnsi="仿宋" w:eastAsia="仿宋"/>
          <w:sz w:val="32"/>
          <w:szCs w:val="32"/>
        </w:rPr>
      </w:pPr>
      <w:r>
        <w:rPr>
          <w:rFonts w:ascii="仿宋" w:hAnsi="仿宋" w:eastAsia="仿宋" w:cs="宋体"/>
          <w:sz w:val="32"/>
          <w:szCs w:val="32"/>
        </w:rPr>
        <w:t>2.</w:t>
      </w:r>
      <w:r>
        <w:rPr>
          <w:rFonts w:hint="eastAsia" w:ascii="仿宋" w:hAnsi="仿宋" w:eastAsia="仿宋" w:cs="宋体"/>
          <w:sz w:val="32"/>
          <w:szCs w:val="32"/>
        </w:rPr>
        <w:t>对本合同的任何补充、修改或变更必须以书面形式进行。</w:t>
      </w:r>
    </w:p>
    <w:p>
      <w:pPr>
        <w:spacing w:line="540" w:lineRule="exact"/>
        <w:ind w:firstLine="729" w:firstLineChars="228"/>
        <w:rPr>
          <w:rFonts w:ascii="仿宋" w:hAnsi="仿宋" w:eastAsia="仿宋"/>
          <w:sz w:val="32"/>
          <w:szCs w:val="32"/>
        </w:rPr>
      </w:pPr>
      <w:r>
        <w:rPr>
          <w:rFonts w:ascii="仿宋" w:hAnsi="仿宋" w:eastAsia="仿宋" w:cs="宋体"/>
          <w:sz w:val="32"/>
          <w:szCs w:val="32"/>
        </w:rPr>
        <w:t>3.</w:t>
      </w:r>
      <w:r>
        <w:rPr>
          <w:rFonts w:hint="eastAsia" w:ascii="仿宋" w:hAnsi="仿宋" w:eastAsia="仿宋" w:cs="宋体"/>
          <w:sz w:val="32"/>
          <w:szCs w:val="32"/>
        </w:rPr>
        <w:t>双方签订的补充协议以及修改或变更的条款与本合同具有同等法律效力。</w:t>
      </w:r>
    </w:p>
    <w:p>
      <w:pPr>
        <w:spacing w:line="540" w:lineRule="exact"/>
        <w:ind w:firstLine="729" w:firstLineChars="228"/>
        <w:jc w:val="left"/>
        <w:rPr>
          <w:rFonts w:ascii="黑体" w:hAnsi="黑体" w:eastAsia="黑体" w:cs="宋体"/>
          <w:sz w:val="32"/>
          <w:szCs w:val="32"/>
        </w:rPr>
      </w:pPr>
      <w:r>
        <w:rPr>
          <w:rFonts w:hint="eastAsia" w:ascii="黑体" w:hAnsi="黑体" w:eastAsia="黑体" w:cs="宋体"/>
          <w:sz w:val="32"/>
          <w:szCs w:val="32"/>
        </w:rPr>
        <w:t>十、合同的生效</w:t>
      </w:r>
    </w:p>
    <w:p>
      <w:pPr>
        <w:spacing w:line="540" w:lineRule="exact"/>
        <w:ind w:firstLine="729" w:firstLineChars="228"/>
        <w:rPr>
          <w:rFonts w:ascii="仿宋" w:hAnsi="仿宋" w:eastAsia="仿宋"/>
          <w:sz w:val="32"/>
          <w:szCs w:val="32"/>
        </w:rPr>
      </w:pPr>
      <w:r>
        <w:rPr>
          <w:rFonts w:hint="eastAsia" w:ascii="仿宋" w:hAnsi="仿宋" w:eastAsia="仿宋" w:cs="宋体"/>
          <w:sz w:val="32"/>
          <w:szCs w:val="32"/>
        </w:rPr>
        <w:t>合同签署的所有内容经甲、乙双方签字盖章后生效。</w:t>
      </w:r>
    </w:p>
    <w:p>
      <w:pPr>
        <w:spacing w:line="540" w:lineRule="exact"/>
        <w:ind w:firstLine="729" w:firstLineChars="228"/>
        <w:jc w:val="left"/>
        <w:rPr>
          <w:rFonts w:ascii="黑体" w:hAnsi="黑体" w:eastAsia="黑体" w:cs="宋体"/>
          <w:sz w:val="32"/>
          <w:szCs w:val="32"/>
        </w:rPr>
      </w:pPr>
      <w:r>
        <w:rPr>
          <w:rFonts w:hint="eastAsia" w:ascii="黑体" w:hAnsi="黑体" w:eastAsia="黑体" w:cs="宋体"/>
          <w:sz w:val="32"/>
          <w:szCs w:val="32"/>
        </w:rPr>
        <w:t>十一、其它约定事项</w:t>
      </w:r>
    </w:p>
    <w:p>
      <w:pPr>
        <w:spacing w:line="540" w:lineRule="exact"/>
        <w:ind w:firstLine="729" w:firstLineChars="228"/>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本合同甲乙双方各执一份，并送赤峰学院党政办一份备案。</w:t>
      </w:r>
    </w:p>
    <w:p>
      <w:pPr>
        <w:spacing w:line="540" w:lineRule="exact"/>
        <w:ind w:firstLine="729" w:firstLineChars="228"/>
        <w:rPr>
          <w:rFonts w:hint="eastAsia"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一方当事人未经另一方书面同意，不得将其在合同下的权利和义务全部或部分转让给第三人。</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甲方：赤峰学院（盖章）</w:t>
      </w:r>
    </w:p>
    <w:p>
      <w:pPr>
        <w:spacing w:line="540" w:lineRule="exact"/>
        <w:ind w:firstLine="729" w:firstLineChars="228"/>
        <w:jc w:val="left"/>
        <w:rPr>
          <w:rFonts w:ascii="仿宋" w:hAnsi="仿宋" w:eastAsia="仿宋"/>
          <w:sz w:val="32"/>
          <w:szCs w:val="32"/>
        </w:rPr>
      </w:pPr>
      <w:r>
        <w:rPr>
          <w:rFonts w:hint="eastAsia" w:ascii="仿宋" w:hAnsi="仿宋" w:eastAsia="仿宋" w:cs="宋体"/>
          <w:sz w:val="32"/>
          <w:szCs w:val="32"/>
        </w:rPr>
        <w:t>法定代表人：（签字）</w:t>
      </w:r>
    </w:p>
    <w:p>
      <w:pPr>
        <w:spacing w:line="540" w:lineRule="exact"/>
        <w:ind w:firstLine="729" w:firstLineChars="228"/>
        <w:jc w:val="left"/>
        <w:rPr>
          <w:rFonts w:ascii="仿宋" w:hAnsi="仿宋" w:eastAsia="仿宋"/>
          <w:sz w:val="32"/>
          <w:szCs w:val="32"/>
        </w:rPr>
      </w:pPr>
      <w:r>
        <w:rPr>
          <w:rFonts w:hint="eastAsia" w:ascii="仿宋" w:hAnsi="仿宋" w:eastAsia="仿宋" w:cs="宋体"/>
          <w:sz w:val="32"/>
          <w:szCs w:val="32"/>
        </w:rPr>
        <w:t>采购监督管理部门负责人：（签字）</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联系电话：</w:t>
      </w:r>
    </w:p>
    <w:p>
      <w:pPr>
        <w:spacing w:line="540" w:lineRule="exact"/>
        <w:ind w:firstLine="729" w:firstLineChars="228"/>
        <w:jc w:val="left"/>
        <w:rPr>
          <w:rFonts w:ascii="仿宋" w:hAnsi="仿宋" w:eastAsia="仿宋"/>
          <w:sz w:val="32"/>
          <w:szCs w:val="32"/>
        </w:rPr>
      </w:pPr>
      <w:r>
        <w:rPr>
          <w:rFonts w:hint="eastAsia" w:ascii="仿宋" w:hAnsi="仿宋" w:eastAsia="仿宋" w:cs="宋体"/>
          <w:sz w:val="32"/>
          <w:szCs w:val="32"/>
        </w:rPr>
        <w:t>单位地址：红山区迎宾路</w:t>
      </w:r>
      <w:r>
        <w:rPr>
          <w:rFonts w:ascii="仿宋" w:hAnsi="仿宋" w:eastAsia="仿宋" w:cs="宋体"/>
          <w:sz w:val="32"/>
          <w:szCs w:val="32"/>
        </w:rPr>
        <w:t>1</w:t>
      </w:r>
      <w:r>
        <w:rPr>
          <w:rFonts w:hint="eastAsia" w:ascii="仿宋" w:hAnsi="仿宋" w:eastAsia="仿宋" w:cs="宋体"/>
          <w:sz w:val="32"/>
          <w:szCs w:val="32"/>
        </w:rPr>
        <w:t>号</w:t>
      </w:r>
    </w:p>
    <w:p>
      <w:pPr>
        <w:spacing w:line="540" w:lineRule="exact"/>
        <w:jc w:val="right"/>
        <w:rPr>
          <w:rFonts w:ascii="仿宋" w:hAnsi="仿宋" w:eastAsia="仿宋"/>
          <w:sz w:val="32"/>
          <w:szCs w:val="32"/>
        </w:rPr>
      </w:pPr>
      <w:r>
        <w:rPr>
          <w:rFonts w:hint="eastAsia" w:ascii="仿宋" w:hAnsi="仿宋" w:eastAsia="仿宋" w:cs="宋体"/>
          <w:sz w:val="32"/>
          <w:szCs w:val="32"/>
        </w:rPr>
        <w:t xml:space="preserve">年 </w:t>
      </w:r>
      <w:r>
        <w:rPr>
          <w:rFonts w:ascii="仿宋" w:hAnsi="仿宋" w:eastAsia="仿宋" w:cs="宋体"/>
          <w:sz w:val="32"/>
          <w:szCs w:val="32"/>
        </w:rPr>
        <w:t xml:space="preserve">   </w:t>
      </w:r>
      <w:r>
        <w:rPr>
          <w:rFonts w:hint="eastAsia" w:ascii="仿宋" w:hAnsi="仿宋" w:eastAsia="仿宋" w:cs="宋体"/>
          <w:sz w:val="32"/>
          <w:szCs w:val="32"/>
        </w:rPr>
        <w:t xml:space="preserve">月 </w:t>
      </w:r>
      <w:r>
        <w:rPr>
          <w:rFonts w:ascii="仿宋" w:hAnsi="仿宋" w:eastAsia="仿宋" w:cs="宋体"/>
          <w:sz w:val="32"/>
          <w:szCs w:val="32"/>
        </w:rPr>
        <w:t xml:space="preserve">    </w:t>
      </w:r>
      <w:r>
        <w:rPr>
          <w:rFonts w:hint="eastAsia" w:ascii="仿宋" w:hAnsi="仿宋" w:eastAsia="仿宋" w:cs="宋体"/>
          <w:sz w:val="32"/>
          <w:szCs w:val="32"/>
        </w:rPr>
        <w:t>日</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 xml:space="preserve">乙方：     </w:t>
      </w:r>
      <w:r>
        <w:rPr>
          <w:rFonts w:ascii="仿宋" w:hAnsi="仿宋" w:eastAsia="仿宋" w:cs="宋体"/>
          <w:sz w:val="32"/>
          <w:szCs w:val="32"/>
        </w:rPr>
        <w:t xml:space="preserve">  </w:t>
      </w:r>
      <w:r>
        <w:rPr>
          <w:rFonts w:hint="eastAsia" w:ascii="仿宋" w:hAnsi="仿宋" w:eastAsia="仿宋" w:cs="宋体"/>
          <w:sz w:val="32"/>
          <w:szCs w:val="32"/>
        </w:rPr>
        <w:t>（盖章）</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 xml:space="preserve">法定代表人：         （签字） </w:t>
      </w:r>
      <w:r>
        <w:rPr>
          <w:rFonts w:ascii="仿宋" w:hAnsi="仿宋" w:eastAsia="仿宋" w:cs="宋体"/>
          <w:sz w:val="32"/>
          <w:szCs w:val="32"/>
        </w:rPr>
        <w:t xml:space="preserve">    </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受理学院项目负责人：         （签字）</w:t>
      </w:r>
    </w:p>
    <w:p>
      <w:pPr>
        <w:spacing w:line="540" w:lineRule="exact"/>
        <w:ind w:firstLine="729" w:firstLineChars="228"/>
        <w:jc w:val="left"/>
        <w:rPr>
          <w:rFonts w:hint="eastAsia" w:ascii="仿宋" w:hAnsi="仿宋" w:eastAsia="仿宋" w:cs="宋体"/>
          <w:sz w:val="32"/>
          <w:szCs w:val="32"/>
        </w:rPr>
      </w:pPr>
      <w:r>
        <w:rPr>
          <w:rFonts w:hint="eastAsia" w:ascii="仿宋" w:hAnsi="仿宋" w:eastAsia="仿宋" w:cs="宋体"/>
          <w:sz w:val="32"/>
          <w:szCs w:val="32"/>
        </w:rPr>
        <w:t xml:space="preserve">联系电话：            </w:t>
      </w:r>
    </w:p>
    <w:p>
      <w:pPr>
        <w:spacing w:line="540" w:lineRule="exact"/>
        <w:ind w:firstLine="729" w:firstLineChars="228"/>
        <w:jc w:val="left"/>
        <w:rPr>
          <w:rFonts w:hint="eastAsia" w:ascii="仿宋" w:hAnsi="仿宋" w:eastAsia="仿宋" w:cs="宋体"/>
          <w:sz w:val="32"/>
          <w:szCs w:val="32"/>
        </w:rPr>
      </w:pPr>
      <w:r>
        <w:rPr>
          <w:rFonts w:hint="eastAsia" w:ascii="仿宋" w:hAnsi="仿宋" w:eastAsia="仿宋" w:cs="宋体"/>
          <w:sz w:val="32"/>
          <w:szCs w:val="32"/>
        </w:rPr>
        <w:t>单位地址：</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开户银行：</w:t>
      </w:r>
    </w:p>
    <w:p>
      <w:pPr>
        <w:spacing w:line="540" w:lineRule="exact"/>
        <w:ind w:firstLine="729" w:firstLineChars="228"/>
        <w:jc w:val="left"/>
        <w:rPr>
          <w:rFonts w:ascii="仿宋" w:hAnsi="仿宋" w:eastAsia="仿宋" w:cs="宋体"/>
          <w:sz w:val="32"/>
          <w:szCs w:val="32"/>
        </w:rPr>
      </w:pPr>
      <w:r>
        <w:rPr>
          <w:rFonts w:hint="eastAsia" w:ascii="仿宋" w:hAnsi="仿宋" w:eastAsia="仿宋" w:cs="宋体"/>
          <w:sz w:val="32"/>
          <w:szCs w:val="32"/>
        </w:rPr>
        <w:t>开户账号：</w:t>
      </w:r>
    </w:p>
    <w:p>
      <w:pPr>
        <w:spacing w:line="540" w:lineRule="exact"/>
        <w:ind w:right="600" w:firstLine="160" w:firstLineChars="50"/>
        <w:jc w:val="right"/>
        <w:rPr>
          <w:rFonts w:ascii="仿宋" w:hAnsi="仿宋" w:eastAsia="仿宋"/>
          <w:sz w:val="32"/>
          <w:szCs w:val="32"/>
        </w:rPr>
      </w:pPr>
      <w:r>
        <w:rPr>
          <w:rFonts w:hint="eastAsia" w:ascii="仿宋" w:hAnsi="仿宋" w:eastAsia="仿宋" w:cs="宋体"/>
          <w:sz w:val="32"/>
          <w:szCs w:val="32"/>
        </w:rPr>
        <w:t>年    月     日</w:t>
      </w:r>
    </w:p>
    <w:p>
      <w:pPr>
        <w:spacing w:line="540" w:lineRule="exact"/>
        <w:ind w:firstLine="640" w:firstLineChars="200"/>
        <w:rPr>
          <w:rFonts w:hint="eastAsia" w:ascii="仿宋" w:hAnsi="仿宋" w:eastAsia="仿宋"/>
          <w:sz w:val="32"/>
          <w:szCs w:val="32"/>
        </w:rPr>
      </w:pPr>
      <w:r>
        <w:rPr>
          <w:rFonts w:hint="eastAsia" w:ascii="仿宋" w:hAnsi="仿宋" w:eastAsia="仿宋" w:cs="宋体"/>
          <w:sz w:val="32"/>
          <w:szCs w:val="32"/>
        </w:rPr>
        <w:t>合同签订地：内蒙古赤峰市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617A91"/>
    <w:rsid w:val="000E660B"/>
    <w:rsid w:val="00152283"/>
    <w:rsid w:val="00186EAB"/>
    <w:rsid w:val="00395130"/>
    <w:rsid w:val="003D2C2F"/>
    <w:rsid w:val="003D7D05"/>
    <w:rsid w:val="004B3097"/>
    <w:rsid w:val="004F3923"/>
    <w:rsid w:val="00617A91"/>
    <w:rsid w:val="009545EC"/>
    <w:rsid w:val="009C6506"/>
    <w:rsid w:val="00AF2D6F"/>
    <w:rsid w:val="00B75E6E"/>
    <w:rsid w:val="00BF0E19"/>
    <w:rsid w:val="00C26C0A"/>
    <w:rsid w:val="00D93775"/>
    <w:rsid w:val="00FC7203"/>
    <w:rsid w:val="01FB53CC"/>
    <w:rsid w:val="020C62E0"/>
    <w:rsid w:val="029E44B1"/>
    <w:rsid w:val="03103AB1"/>
    <w:rsid w:val="03134593"/>
    <w:rsid w:val="046821E7"/>
    <w:rsid w:val="04954A53"/>
    <w:rsid w:val="04C52CC0"/>
    <w:rsid w:val="04E655A9"/>
    <w:rsid w:val="05404C1F"/>
    <w:rsid w:val="0563783B"/>
    <w:rsid w:val="058A28EF"/>
    <w:rsid w:val="06744454"/>
    <w:rsid w:val="06D61AA4"/>
    <w:rsid w:val="06D936B7"/>
    <w:rsid w:val="06F51165"/>
    <w:rsid w:val="072528D9"/>
    <w:rsid w:val="07C65BBA"/>
    <w:rsid w:val="08320404"/>
    <w:rsid w:val="083A7E55"/>
    <w:rsid w:val="08494249"/>
    <w:rsid w:val="085F1830"/>
    <w:rsid w:val="086A6F17"/>
    <w:rsid w:val="08DA6DCA"/>
    <w:rsid w:val="0A2941FA"/>
    <w:rsid w:val="0A2D6471"/>
    <w:rsid w:val="0A6B29B8"/>
    <w:rsid w:val="0AD93B0B"/>
    <w:rsid w:val="0C041B9A"/>
    <w:rsid w:val="0C9336AD"/>
    <w:rsid w:val="0CAE67E3"/>
    <w:rsid w:val="0CC954FA"/>
    <w:rsid w:val="0D0F151F"/>
    <w:rsid w:val="0D59003D"/>
    <w:rsid w:val="0D6D7CB8"/>
    <w:rsid w:val="0DB8494D"/>
    <w:rsid w:val="0DED346A"/>
    <w:rsid w:val="0E2275B0"/>
    <w:rsid w:val="0ECC4670"/>
    <w:rsid w:val="0F0A4F75"/>
    <w:rsid w:val="0F9C03A4"/>
    <w:rsid w:val="100F2EAD"/>
    <w:rsid w:val="10420DD6"/>
    <w:rsid w:val="109D1F6C"/>
    <w:rsid w:val="10C34956"/>
    <w:rsid w:val="112F6802"/>
    <w:rsid w:val="11487125"/>
    <w:rsid w:val="11515B91"/>
    <w:rsid w:val="11A65E85"/>
    <w:rsid w:val="11CF2DE5"/>
    <w:rsid w:val="12753235"/>
    <w:rsid w:val="12C339DE"/>
    <w:rsid w:val="13035A00"/>
    <w:rsid w:val="130B27DD"/>
    <w:rsid w:val="137B75C0"/>
    <w:rsid w:val="13DF4519"/>
    <w:rsid w:val="140A090B"/>
    <w:rsid w:val="146F4267"/>
    <w:rsid w:val="147526A4"/>
    <w:rsid w:val="153550D8"/>
    <w:rsid w:val="153876C0"/>
    <w:rsid w:val="155268CE"/>
    <w:rsid w:val="15794C0E"/>
    <w:rsid w:val="15C736CD"/>
    <w:rsid w:val="16A80338"/>
    <w:rsid w:val="17263548"/>
    <w:rsid w:val="19110A61"/>
    <w:rsid w:val="19240C77"/>
    <w:rsid w:val="19282659"/>
    <w:rsid w:val="1952206C"/>
    <w:rsid w:val="19656C82"/>
    <w:rsid w:val="19964D79"/>
    <w:rsid w:val="1A2B173A"/>
    <w:rsid w:val="1A6973C6"/>
    <w:rsid w:val="1AE1108A"/>
    <w:rsid w:val="1B433859"/>
    <w:rsid w:val="1BA52982"/>
    <w:rsid w:val="1BB27AA1"/>
    <w:rsid w:val="1BDC3BB0"/>
    <w:rsid w:val="1BEA2D97"/>
    <w:rsid w:val="1CA90EA4"/>
    <w:rsid w:val="1D702462"/>
    <w:rsid w:val="1DD27103"/>
    <w:rsid w:val="1E150F68"/>
    <w:rsid w:val="1E667736"/>
    <w:rsid w:val="1E781783"/>
    <w:rsid w:val="1EA00237"/>
    <w:rsid w:val="1FA15605"/>
    <w:rsid w:val="1FAD2EC9"/>
    <w:rsid w:val="20684BD2"/>
    <w:rsid w:val="20885414"/>
    <w:rsid w:val="20D85C8B"/>
    <w:rsid w:val="21020B82"/>
    <w:rsid w:val="21152D48"/>
    <w:rsid w:val="2181419D"/>
    <w:rsid w:val="21AC7F44"/>
    <w:rsid w:val="21C621AC"/>
    <w:rsid w:val="21FA2BC9"/>
    <w:rsid w:val="223476E3"/>
    <w:rsid w:val="229308CF"/>
    <w:rsid w:val="22CF10D9"/>
    <w:rsid w:val="234152BC"/>
    <w:rsid w:val="239173C7"/>
    <w:rsid w:val="23F61186"/>
    <w:rsid w:val="23F9635D"/>
    <w:rsid w:val="24D6035C"/>
    <w:rsid w:val="25BA5ED0"/>
    <w:rsid w:val="25CB402A"/>
    <w:rsid w:val="25EE16E0"/>
    <w:rsid w:val="261E6BA2"/>
    <w:rsid w:val="26E61054"/>
    <w:rsid w:val="27C8092B"/>
    <w:rsid w:val="27D06F1C"/>
    <w:rsid w:val="283A054F"/>
    <w:rsid w:val="288D76B2"/>
    <w:rsid w:val="28CC4D8F"/>
    <w:rsid w:val="28FC367F"/>
    <w:rsid w:val="29885AE3"/>
    <w:rsid w:val="2A5002AB"/>
    <w:rsid w:val="2A5D4188"/>
    <w:rsid w:val="2B09068F"/>
    <w:rsid w:val="2B545606"/>
    <w:rsid w:val="2B60631B"/>
    <w:rsid w:val="2BFB37E6"/>
    <w:rsid w:val="2C6B1654"/>
    <w:rsid w:val="2D060C72"/>
    <w:rsid w:val="2D1E1DA2"/>
    <w:rsid w:val="2D4D7629"/>
    <w:rsid w:val="2D8903B7"/>
    <w:rsid w:val="2DC610A9"/>
    <w:rsid w:val="2E5D564A"/>
    <w:rsid w:val="2E821554"/>
    <w:rsid w:val="2EA74282"/>
    <w:rsid w:val="2F0933B3"/>
    <w:rsid w:val="2FA935A3"/>
    <w:rsid w:val="2FD71DCD"/>
    <w:rsid w:val="2FE73D65"/>
    <w:rsid w:val="3086767C"/>
    <w:rsid w:val="30F00549"/>
    <w:rsid w:val="311D235F"/>
    <w:rsid w:val="312A6EBB"/>
    <w:rsid w:val="31E82F4E"/>
    <w:rsid w:val="31EB4DCB"/>
    <w:rsid w:val="32486E6B"/>
    <w:rsid w:val="328D4FDF"/>
    <w:rsid w:val="32A2306C"/>
    <w:rsid w:val="32B84EC5"/>
    <w:rsid w:val="32E620B2"/>
    <w:rsid w:val="33230F02"/>
    <w:rsid w:val="3378788F"/>
    <w:rsid w:val="33B01F23"/>
    <w:rsid w:val="33CA19D4"/>
    <w:rsid w:val="35463A58"/>
    <w:rsid w:val="362F43D4"/>
    <w:rsid w:val="36341214"/>
    <w:rsid w:val="36DB4535"/>
    <w:rsid w:val="36F10DB5"/>
    <w:rsid w:val="376506DF"/>
    <w:rsid w:val="37917A3E"/>
    <w:rsid w:val="37F329D7"/>
    <w:rsid w:val="37F4097D"/>
    <w:rsid w:val="38BF0E72"/>
    <w:rsid w:val="39520086"/>
    <w:rsid w:val="396C07BB"/>
    <w:rsid w:val="39833F36"/>
    <w:rsid w:val="39972C91"/>
    <w:rsid w:val="39AA7591"/>
    <w:rsid w:val="3A4A73CA"/>
    <w:rsid w:val="3B0B1804"/>
    <w:rsid w:val="3BAC06E0"/>
    <w:rsid w:val="3BB93335"/>
    <w:rsid w:val="3BEA06BD"/>
    <w:rsid w:val="3C320916"/>
    <w:rsid w:val="3C9B215F"/>
    <w:rsid w:val="3CDD11DF"/>
    <w:rsid w:val="3E2C0D0D"/>
    <w:rsid w:val="3EA31CF8"/>
    <w:rsid w:val="3F117987"/>
    <w:rsid w:val="3FAE3AB8"/>
    <w:rsid w:val="3FB72714"/>
    <w:rsid w:val="3FED172B"/>
    <w:rsid w:val="3FFB39F2"/>
    <w:rsid w:val="3FFC0F93"/>
    <w:rsid w:val="40894472"/>
    <w:rsid w:val="41091C07"/>
    <w:rsid w:val="41306AB3"/>
    <w:rsid w:val="414D7BFF"/>
    <w:rsid w:val="41635A3E"/>
    <w:rsid w:val="418946DE"/>
    <w:rsid w:val="418A76FD"/>
    <w:rsid w:val="42DC527F"/>
    <w:rsid w:val="42FB395A"/>
    <w:rsid w:val="432D7889"/>
    <w:rsid w:val="436F4C1B"/>
    <w:rsid w:val="43A01CEB"/>
    <w:rsid w:val="43C60E95"/>
    <w:rsid w:val="4468054A"/>
    <w:rsid w:val="44A26055"/>
    <w:rsid w:val="45CB0699"/>
    <w:rsid w:val="46466F02"/>
    <w:rsid w:val="46A41D3C"/>
    <w:rsid w:val="46AC31BB"/>
    <w:rsid w:val="46C22EBB"/>
    <w:rsid w:val="476B07F2"/>
    <w:rsid w:val="479F591D"/>
    <w:rsid w:val="47B84BCF"/>
    <w:rsid w:val="484720FD"/>
    <w:rsid w:val="4A1122D5"/>
    <w:rsid w:val="4B352131"/>
    <w:rsid w:val="4B8357DF"/>
    <w:rsid w:val="4BBB4061"/>
    <w:rsid w:val="4C6F51DD"/>
    <w:rsid w:val="4C8F41CD"/>
    <w:rsid w:val="4D20220D"/>
    <w:rsid w:val="4D2B0F2C"/>
    <w:rsid w:val="4D555661"/>
    <w:rsid w:val="4E026C32"/>
    <w:rsid w:val="4E211F59"/>
    <w:rsid w:val="4E352717"/>
    <w:rsid w:val="4E9C3B15"/>
    <w:rsid w:val="4EEF77ED"/>
    <w:rsid w:val="4F115794"/>
    <w:rsid w:val="4F8B4491"/>
    <w:rsid w:val="4FF62EAF"/>
    <w:rsid w:val="51577DCB"/>
    <w:rsid w:val="517E0251"/>
    <w:rsid w:val="51E5555A"/>
    <w:rsid w:val="52A511EA"/>
    <w:rsid w:val="538E31C0"/>
    <w:rsid w:val="53A31C7D"/>
    <w:rsid w:val="53A54E1A"/>
    <w:rsid w:val="540F5ACF"/>
    <w:rsid w:val="543A1F17"/>
    <w:rsid w:val="547B1455"/>
    <w:rsid w:val="550B7A40"/>
    <w:rsid w:val="55B33C1E"/>
    <w:rsid w:val="564F19E8"/>
    <w:rsid w:val="56BD319D"/>
    <w:rsid w:val="56E60E63"/>
    <w:rsid w:val="56F42BE9"/>
    <w:rsid w:val="57224E2E"/>
    <w:rsid w:val="57475275"/>
    <w:rsid w:val="57C52240"/>
    <w:rsid w:val="5829014D"/>
    <w:rsid w:val="594B20D3"/>
    <w:rsid w:val="598053CB"/>
    <w:rsid w:val="59BD5424"/>
    <w:rsid w:val="59FD7B36"/>
    <w:rsid w:val="5A3A1F4F"/>
    <w:rsid w:val="5A4B6A88"/>
    <w:rsid w:val="5A4D22E1"/>
    <w:rsid w:val="5A507F0D"/>
    <w:rsid w:val="5B4A2D13"/>
    <w:rsid w:val="5B6A7475"/>
    <w:rsid w:val="5BBE154D"/>
    <w:rsid w:val="5BD25AA7"/>
    <w:rsid w:val="5C5E7CE8"/>
    <w:rsid w:val="5C7D5D77"/>
    <w:rsid w:val="5CAB7501"/>
    <w:rsid w:val="5CD526CC"/>
    <w:rsid w:val="5D1C1D2A"/>
    <w:rsid w:val="5D4A4B6B"/>
    <w:rsid w:val="5D4C7C26"/>
    <w:rsid w:val="5D82600B"/>
    <w:rsid w:val="5E4F4700"/>
    <w:rsid w:val="5E767EDE"/>
    <w:rsid w:val="5F44223A"/>
    <w:rsid w:val="5F8B79B9"/>
    <w:rsid w:val="6027230F"/>
    <w:rsid w:val="60291595"/>
    <w:rsid w:val="613926EF"/>
    <w:rsid w:val="6263536A"/>
    <w:rsid w:val="62925B93"/>
    <w:rsid w:val="62AA476A"/>
    <w:rsid w:val="62F04316"/>
    <w:rsid w:val="63CB2A7A"/>
    <w:rsid w:val="63F32F8D"/>
    <w:rsid w:val="64F33F61"/>
    <w:rsid w:val="659A5830"/>
    <w:rsid w:val="65D25985"/>
    <w:rsid w:val="66573494"/>
    <w:rsid w:val="684B7124"/>
    <w:rsid w:val="68B00FD0"/>
    <w:rsid w:val="694C35BD"/>
    <w:rsid w:val="69D35406"/>
    <w:rsid w:val="6A2C3B47"/>
    <w:rsid w:val="6A9F59D8"/>
    <w:rsid w:val="6AFE3735"/>
    <w:rsid w:val="6B3929BF"/>
    <w:rsid w:val="6B720FC0"/>
    <w:rsid w:val="6B7B66F0"/>
    <w:rsid w:val="6B866AC6"/>
    <w:rsid w:val="6BA51312"/>
    <w:rsid w:val="6BD90644"/>
    <w:rsid w:val="6C7B12DC"/>
    <w:rsid w:val="6D116E29"/>
    <w:rsid w:val="6D5A0EF1"/>
    <w:rsid w:val="6D5F49A1"/>
    <w:rsid w:val="6D7918C6"/>
    <w:rsid w:val="6D952368"/>
    <w:rsid w:val="6DAD0F2B"/>
    <w:rsid w:val="6DF23FDA"/>
    <w:rsid w:val="6DFE0658"/>
    <w:rsid w:val="6E0B5759"/>
    <w:rsid w:val="6EA83FAA"/>
    <w:rsid w:val="6F822E99"/>
    <w:rsid w:val="6F9D670C"/>
    <w:rsid w:val="710E66BB"/>
    <w:rsid w:val="71197A0D"/>
    <w:rsid w:val="7136568E"/>
    <w:rsid w:val="7141773E"/>
    <w:rsid w:val="71CD0094"/>
    <w:rsid w:val="72CB2F70"/>
    <w:rsid w:val="73D85186"/>
    <w:rsid w:val="74483FAC"/>
    <w:rsid w:val="744C5512"/>
    <w:rsid w:val="746D5B2D"/>
    <w:rsid w:val="75AD0232"/>
    <w:rsid w:val="75BC0475"/>
    <w:rsid w:val="7626797C"/>
    <w:rsid w:val="762D57B2"/>
    <w:rsid w:val="76975F1C"/>
    <w:rsid w:val="76BF20DC"/>
    <w:rsid w:val="77240167"/>
    <w:rsid w:val="77704E5A"/>
    <w:rsid w:val="77747D73"/>
    <w:rsid w:val="781D0CDD"/>
    <w:rsid w:val="78616307"/>
    <w:rsid w:val="78C35579"/>
    <w:rsid w:val="79186B45"/>
    <w:rsid w:val="7934049F"/>
    <w:rsid w:val="79F9071F"/>
    <w:rsid w:val="7B050079"/>
    <w:rsid w:val="7BB617C7"/>
    <w:rsid w:val="7BDC1D1A"/>
    <w:rsid w:val="7C23124E"/>
    <w:rsid w:val="7C5C1B71"/>
    <w:rsid w:val="7D842462"/>
    <w:rsid w:val="7DB61E5C"/>
    <w:rsid w:val="7DF17186"/>
    <w:rsid w:val="7E7C76F5"/>
    <w:rsid w:val="7EDB23BD"/>
    <w:rsid w:val="7FDA3F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3">
    <w:name w:val="Body Text"/>
    <w:basedOn w:val="1"/>
    <w:next w:val="4"/>
    <w:link w:val="15"/>
    <w:qFormat/>
    <w:uiPriority w:val="0"/>
    <w:rPr>
      <w:rFonts w:ascii="Times New Roman" w:hAnsi="Times New Roman" w:eastAsia="宋体" w:cs="Times New Roman"/>
      <w:szCs w:val="24"/>
    </w:rPr>
  </w:style>
  <w:style w:type="paragraph" w:styleId="4">
    <w:name w:val="Body Text 2"/>
    <w:basedOn w:val="1"/>
    <w:link w:val="16"/>
    <w:unhideWhenUsed/>
    <w:qFormat/>
    <w:uiPriority w:val="99"/>
    <w:pPr>
      <w:spacing w:after="120" w:line="480" w:lineRule="auto"/>
    </w:pPr>
  </w:style>
  <w:style w:type="paragraph" w:styleId="5">
    <w:name w:val="Body Text Indent"/>
    <w:basedOn w:val="1"/>
    <w:link w:val="17"/>
    <w:unhideWhenUsed/>
    <w:qFormat/>
    <w:uiPriority w:val="99"/>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next w:val="10"/>
    <w:link w:val="20"/>
    <w:qFormat/>
    <w:uiPriority w:val="0"/>
    <w:pPr>
      <w:spacing w:line="312" w:lineRule="auto"/>
      <w:ind w:firstLine="420"/>
    </w:pPr>
  </w:style>
  <w:style w:type="paragraph" w:styleId="10">
    <w:name w:val="Body Text First Indent 2"/>
    <w:basedOn w:val="5"/>
    <w:link w:val="21"/>
    <w:unhideWhenUsed/>
    <w:qFormat/>
    <w:uiPriority w:val="99"/>
    <w:pPr>
      <w:ind w:firstLine="420" w:firstLineChars="2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customStyle="1" w:styleId="15">
    <w:name w:val="正文文本 字符"/>
    <w:link w:val="3"/>
    <w:qFormat/>
    <w:uiPriority w:val="0"/>
    <w:rPr>
      <w:rFonts w:ascii="Times New Roman" w:hAnsi="Times New Roman" w:eastAsia="宋体" w:cs="Times New Roman"/>
      <w:szCs w:val="24"/>
    </w:rPr>
  </w:style>
  <w:style w:type="character" w:customStyle="1" w:styleId="16">
    <w:name w:val="正文文本 2 字符"/>
    <w:link w:val="4"/>
    <w:semiHidden/>
    <w:qFormat/>
    <w:uiPriority w:val="99"/>
  </w:style>
  <w:style w:type="character" w:customStyle="1" w:styleId="17">
    <w:name w:val="正文文本缩进 字符"/>
    <w:link w:val="5"/>
    <w:semiHidden/>
    <w:qFormat/>
    <w:uiPriority w:val="99"/>
  </w:style>
  <w:style w:type="character" w:customStyle="1" w:styleId="18">
    <w:name w:val="页脚 字符"/>
    <w:link w:val="6"/>
    <w:qFormat/>
    <w:uiPriority w:val="99"/>
    <w:rPr>
      <w:sz w:val="18"/>
      <w:szCs w:val="18"/>
    </w:rPr>
  </w:style>
  <w:style w:type="character" w:customStyle="1" w:styleId="19">
    <w:name w:val="页眉 字符"/>
    <w:link w:val="7"/>
    <w:qFormat/>
    <w:uiPriority w:val="99"/>
    <w:rPr>
      <w:sz w:val="18"/>
      <w:szCs w:val="18"/>
    </w:rPr>
  </w:style>
  <w:style w:type="character" w:customStyle="1" w:styleId="20">
    <w:name w:val="正文文本首行缩进 字符"/>
    <w:link w:val="9"/>
    <w:qFormat/>
    <w:uiPriority w:val="0"/>
    <w:rPr>
      <w:rFonts w:ascii="Times New Roman" w:hAnsi="Times New Roman" w:eastAsia="宋体" w:cs="Times New Roman"/>
      <w:szCs w:val="24"/>
    </w:rPr>
  </w:style>
  <w:style w:type="character" w:customStyle="1" w:styleId="21">
    <w:name w:val="正文文本首行缩进 2 字符"/>
    <w:link w:val="1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953</Words>
  <Characters>5435</Characters>
  <Lines>45</Lines>
  <Paragraphs>12</Paragraphs>
  <TotalTime>0</TotalTime>
  <ScaleCrop>false</ScaleCrop>
  <LinksUpToDate>false</LinksUpToDate>
  <CharactersWithSpaces>6376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2023-10-09T06:57:00Z</dcterms:created>
  <dc:creator>综合二科</dc:creator>
  <cp:lastModifiedBy>蒙古马</cp:lastModifiedBy>
  <cp:lastPrinted>2023-06-09T11:45:00Z</cp:lastPrinted>
  <dcterms:modified xsi:type="dcterms:W3CDTF">2024-02-27T01:00:35Z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600EF90E078B4EE19679B6AE0D797EE9_13</vt:lpwstr>
  </property>
</Properties>
</file>