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AI新形态智慧课程建设与应用教师培训</w:t>
      </w:r>
    </w:p>
    <w:p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t>参训人员回执表</w:t>
      </w:r>
    </w:p>
    <w:p>
      <w:pPr>
        <w:jc w:val="center"/>
        <w:rPr>
          <w:rFonts w:hint="eastAsia"/>
          <w:b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1"/>
        <w:gridCol w:w="2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单位</w:t>
            </w: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专业</w:t>
            </w: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jc w:val="center"/>
        <w:rPr>
          <w:b/>
          <w:sz w:val="28"/>
        </w:rPr>
      </w:pPr>
    </w:p>
    <w:sectPr>
      <w:pgSz w:w="11906" w:h="16838"/>
      <w:pgMar w:top="1701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38"/>
    <w:rsid w:val="00AD6038"/>
    <w:rsid w:val="38A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4</TotalTime>
  <ScaleCrop>false</ScaleCrop>
  <LinksUpToDate>false</LinksUpToDate>
  <CharactersWithSpaces>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2025-05-11T08:30:00Z</dcterms:created>
  <dc:creator>이천주</dc:creator>
  <cp:lastModifiedBy>毛毛可爱</cp:lastModifiedBy>
  <dcterms:modified xsi:type="dcterms:W3CDTF">2025-05-12T00:52:46Z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F28B1CC41C4B468AB771EDD640D0E8FD_13</vt:lpwstr>
  </property>
</Properties>
</file>