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9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2024〕179号</w:t>
      </w:r>
    </w:p>
    <w:p w14:paraId="6E2695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670B6B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40" w:lineRule="atLeast"/>
        <w:ind w:left="0" w:right="0"/>
        <w:jc w:val="cente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赤峰学院本科教学工作考核评价办法（修订）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76D4112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3F9B0DE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66CFC82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《赤峰学院本科教学工作考核评价办法（修订）》经学校研究通过，现印发给你们，请遵照执行。</w:t>
      </w:r>
    </w:p>
    <w:p w14:paraId="479A80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2FD26D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06527D2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0A8DAD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7C1603D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54595DE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023FE62A">
      <w:pPr>
        <w:keepNext w:val="0"/>
        <w:keepLines w:val="0"/>
        <w:widowControl/>
        <w:suppressLineNumbers w:val="0"/>
        <w:pBdr>
          <w:top w:val="none" w:color="auto" w:sz="0" w:space="0"/>
          <w:left w:val="none" w:color="auto" w:sz="0" w:space="0"/>
          <w:bottom w:val="none" w:color="auto" w:sz="0" w:space="0"/>
          <w:right w:val="none" w:color="auto" w:sz="0" w:space="0"/>
        </w:pBdr>
        <w:spacing w:before="468" w:beforeAutospacing="0" w:after="156" w:afterAutospacing="0" w:line="560" w:lineRule="atLeast"/>
        <w:ind w:left="0" w:right="0"/>
        <w:jc w:val="cente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赤峰学院本科教学工作考核评价办法（修订）</w:t>
      </w:r>
    </w:p>
    <w:p w14:paraId="48E66F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18DFCF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为深入贯彻党的二十大精神，以习近平新时代中国特色社会主义思想为指导，将培育和践行社会主义核心价值观融入人才培养全过程，坚持立德树人根本任务，形成校内自我评价、持续改进的长效机制，促进教学管理的科学化、规范化、制度化，推动教学基本建设和教学改革，全面提高教育教学质量，制订本办法。</w:t>
      </w:r>
    </w:p>
    <w:p w14:paraId="526D9B0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指导思想</w:t>
      </w:r>
    </w:p>
    <w:p w14:paraId="130F0C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参照教育部《普通高等学校本科教育教学审核评估实施方案（2021—2025年）》（教督〔2021〕1号），结合我校实际，坚持以考核促建设、以考核促管理、以考核促改革、重在提高教学管理水平和教育教学质量的指导思想，引入约束竞争和激励机制，切实提高二级学院教育教学质量与管理水平，努力培养应用型、复合型、创新型人才。</w:t>
      </w:r>
    </w:p>
    <w:p w14:paraId="03DF80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基本原则</w:t>
      </w:r>
    </w:p>
    <w:p w14:paraId="67FC84A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（一）量化考核。每学年对各二级学院均进行考核，全部指标均采用定量考核的方法，以累加积分方式计算评价分值。</w:t>
      </w:r>
    </w:p>
    <w:p w14:paraId="1D6F98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（二）动态评价。按学期采集教学数据，每年度公布一次评价结果。</w:t>
      </w:r>
    </w:p>
    <w:p w14:paraId="632659E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（三）统筹兼顾，突出特色。既要关注国家高等教育政策走向，又要立足于学校实际，不拘泥于国家的教学评估体系，注重指标的有效性，突出学校的自身特点。</w:t>
      </w:r>
    </w:p>
    <w:p w14:paraId="5442B35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（四）注重导向。既考察必须完成的约束性常规工作，也体现导向性创新工作；既考虑基础差异，又鼓励发展进步。</w:t>
      </w:r>
    </w:p>
    <w:p w14:paraId="60C97CB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考核评价指标体系</w:t>
      </w:r>
    </w:p>
    <w:p w14:paraId="2C7240B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学工作考核评价体系由常规工作和加（减）分项两部分组成；包括6个一级指标、22个二级指标及26个加（减）分项目。考核评价指标体系的内容构成、分值及其权重分布，详见《赤峰学院教学工作考核评价指标体系》。</w:t>
      </w:r>
    </w:p>
    <w:p w14:paraId="7283D7D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考核评价程序</w:t>
      </w:r>
    </w:p>
    <w:p w14:paraId="6908A4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（一）每学度召开教学工作考评领导小组会议，对教学工作考核指标体系进行修订，并在学年度初教学工作会议上公布，作为本学年度开展二级学院教学工作考核的依据。</w:t>
      </w:r>
    </w:p>
    <w:p w14:paraId="45EBEB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（二）各二级学院积极配合教务处数据采集工作，教务处对采集的教学信息和数据进行核实、汇总、整理、分析，在校园网上适时公布阶段性教学数据。</w:t>
      </w:r>
    </w:p>
    <w:p w14:paraId="1B4A7A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（三）学校每年年底依据本年度的考核结果，对二级学院教学工作进行综合评价。</w:t>
      </w:r>
    </w:p>
    <w:p w14:paraId="367063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考核评价结果的使用</w:t>
      </w:r>
    </w:p>
    <w:p w14:paraId="3F385F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（一）学校根据教学工作考核评价体系考评结果，评出二级学院教学工作考评一、二、三等奖及优秀奖，并在年终绩效分配中予以体现。</w:t>
      </w:r>
    </w:p>
    <w:p w14:paraId="66B9BC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（二）教学工作考评结果作为二级学院新专业申报和干部工作考核等的重要依据。</w:t>
      </w:r>
    </w:p>
    <w:p w14:paraId="7A0667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其他事项</w:t>
      </w:r>
    </w:p>
    <w:p w14:paraId="2F812A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（一）在教学工作考核评价体系中，个别二级学院缺项（如实验教学、没有学生等），按其他二级学院平均值计算其得分。</w:t>
      </w:r>
    </w:p>
    <w:p w14:paraId="30073E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（二）考核学年度内，二级学院出现1次三级以上教学事故的，本学年不得定为优秀；出现2次三级以上教学事故或1次二级以上教学事故的，两个学年内不得定为优秀。</w:t>
      </w:r>
    </w:p>
    <w:p w14:paraId="513805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（三）对于公布的考核数据，各二级学院如有异议，可提出书面申请进行复查。</w:t>
      </w:r>
    </w:p>
    <w:p w14:paraId="62B1596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（四）教务处、各教学单位须如实填报、汇总考核数据资料。对于弄虚作假影响评价结果的，对相关责任人予以通报批评，情节严重者给予纪律处分。</w:t>
      </w:r>
    </w:p>
    <w:p w14:paraId="123FD94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（五）本规定授权教务处负责解释。</w:t>
      </w:r>
    </w:p>
    <w:p w14:paraId="4FAB714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（六）本规定从2024年度开始执行，原《赤峰学院教学工作考核评价办法（试行）》（赤院院字〔2018〕91号）同时废止。</w:t>
      </w:r>
    </w:p>
    <w:p w14:paraId="1747F36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15AACE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附件：赤峰学院教学工作考核评价指标体系</w:t>
      </w:r>
    </w:p>
    <w:p w14:paraId="73F390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t> </w:t>
      </w:r>
    </w:p>
    <w:p w14:paraId="7000AE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400" w:lineRule="atLeast"/>
        <w:ind w:left="0" w:right="0" w:firstLine="0"/>
        <w:jc w:val="left"/>
        <w:rPr>
          <w:rFonts w:hint="default" w:ascii="Arial" w:hAnsi="Arial" w:eastAsia="Arial" w:cs="Arial"/>
          <w:i w:val="0"/>
          <w:iCs w:val="0"/>
          <w:caps w:val="0"/>
          <w:color w:val="333333"/>
          <w:spacing w:val="0"/>
          <w:sz w:val="21"/>
          <w:szCs w:val="21"/>
        </w:rPr>
      </w:pPr>
      <w:r>
        <w:rPr>
          <w:rFonts w:hint="eastAsia" w:ascii="宋体" w:hAnsi="宋体" w:eastAsia="宋体" w:cs="宋体"/>
          <w:b/>
          <w:bCs/>
          <w:i w:val="0"/>
          <w:iCs w:val="0"/>
          <w:caps w:val="0"/>
          <w:color w:val="333333"/>
          <w:spacing w:val="0"/>
          <w:kern w:val="0"/>
          <w:sz w:val="28"/>
          <w:szCs w:val="28"/>
          <w:bdr w:val="none" w:color="auto" w:sz="0" w:space="0"/>
          <w:shd w:val="clear" w:fill="FFFFFF"/>
          <w:lang w:val="en-US" w:eastAsia="zh-CN" w:bidi="ar"/>
        </w:rPr>
        <w:t>附件：</w:t>
      </w:r>
    </w:p>
    <w:p w14:paraId="06617F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56" w:afterAutospacing="0" w:line="400" w:lineRule="atLeast"/>
        <w:ind w:left="0" w:right="0" w:firstLine="0"/>
        <w:jc w:val="center"/>
        <w:rPr>
          <w:rFonts w:hint="default" w:ascii="Arial" w:hAnsi="Arial" w:eastAsia="Arial" w:cs="Arial"/>
          <w:i w:val="0"/>
          <w:iCs w:val="0"/>
          <w:caps w:val="0"/>
          <w:color w:val="333333"/>
          <w:spacing w:val="0"/>
          <w:sz w:val="21"/>
          <w:szCs w:val="21"/>
        </w:rPr>
      </w:pPr>
      <w:r>
        <w:rPr>
          <w:rFonts w:hint="eastAsia" w:ascii="宋体" w:hAnsi="宋体" w:eastAsia="宋体" w:cs="宋体"/>
          <w:b/>
          <w:bCs/>
          <w:i w:val="0"/>
          <w:iCs w:val="0"/>
          <w:caps w:val="0"/>
          <w:color w:val="333333"/>
          <w:spacing w:val="0"/>
          <w:kern w:val="0"/>
          <w:sz w:val="36"/>
          <w:szCs w:val="36"/>
          <w:bdr w:val="none" w:color="auto" w:sz="0" w:space="0"/>
          <w:shd w:val="clear" w:fill="FFFFFF"/>
          <w:lang w:val="en-US" w:eastAsia="zh-CN" w:bidi="ar"/>
        </w:rPr>
        <w:t>赤峰学院教学工作考核评价指标体系——常规教学部分</w:t>
      </w:r>
    </w:p>
    <w:tbl>
      <w:tblPr>
        <w:tblW w:w="0" w:type="auto"/>
        <w:tblInd w:w="-102"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457"/>
        <w:gridCol w:w="696"/>
        <w:gridCol w:w="1180"/>
        <w:gridCol w:w="701"/>
        <w:gridCol w:w="2270"/>
        <w:gridCol w:w="2655"/>
        <w:gridCol w:w="665"/>
      </w:tblGrid>
      <w:tr w14:paraId="78049C0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05" w:hRule="atLeast"/>
        </w:trPr>
        <w:tc>
          <w:tcPr>
            <w:tcW w:w="1665" w:type="dxa"/>
            <w:gridSpan w:val="2"/>
            <w:tcBorders>
              <w:top w:val="double" w:color="000000" w:sz="6" w:space="0"/>
              <w:left w:val="double" w:color="000000" w:sz="6" w:space="0"/>
              <w:bottom w:val="single" w:color="000000" w:sz="8" w:space="0"/>
              <w:right w:val="single" w:color="000000" w:sz="8" w:space="0"/>
            </w:tcBorders>
            <w:shd w:val="clear" w:color="auto" w:fill="FFFFFF"/>
            <w:tcMar>
              <w:left w:w="108" w:type="dxa"/>
              <w:right w:w="108" w:type="dxa"/>
            </w:tcMar>
            <w:vAlign w:val="center"/>
          </w:tcPr>
          <w:p w14:paraId="053FB31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color w:val="333333"/>
                <w:spacing w:val="0"/>
                <w:kern w:val="0"/>
                <w:sz w:val="24"/>
                <w:szCs w:val="24"/>
                <w:bdr w:val="none" w:color="auto" w:sz="0" w:space="0"/>
                <w:lang w:val="en-US" w:eastAsia="zh-CN" w:bidi="ar"/>
              </w:rPr>
              <w:t>一级指标</w:t>
            </w:r>
          </w:p>
        </w:tc>
        <w:tc>
          <w:tcPr>
            <w:tcW w:w="2040" w:type="dxa"/>
            <w:gridSpan w:val="2"/>
            <w:tcBorders>
              <w:top w:val="double" w:color="000000" w:sz="6" w:space="0"/>
              <w:left w:val="nil"/>
              <w:bottom w:val="single" w:color="000000" w:sz="8" w:space="0"/>
              <w:right w:val="single" w:color="000000" w:sz="8" w:space="0"/>
            </w:tcBorders>
            <w:shd w:val="clear" w:color="auto" w:fill="FFFFFF"/>
            <w:tcMar>
              <w:left w:w="108" w:type="dxa"/>
              <w:right w:w="108" w:type="dxa"/>
            </w:tcMar>
            <w:vAlign w:val="center"/>
          </w:tcPr>
          <w:p w14:paraId="73147D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color w:val="333333"/>
                <w:spacing w:val="0"/>
                <w:kern w:val="0"/>
                <w:sz w:val="24"/>
                <w:szCs w:val="24"/>
                <w:bdr w:val="none" w:color="auto" w:sz="0" w:space="0"/>
                <w:lang w:val="en-US" w:eastAsia="zh-CN" w:bidi="ar"/>
              </w:rPr>
              <w:t>二级指标</w:t>
            </w:r>
          </w:p>
        </w:tc>
        <w:tc>
          <w:tcPr>
            <w:tcW w:w="10740" w:type="dxa"/>
            <w:gridSpan w:val="3"/>
            <w:tcBorders>
              <w:top w:val="double" w:color="000000" w:sz="6" w:space="0"/>
              <w:left w:val="nil"/>
              <w:bottom w:val="single" w:color="000000" w:sz="8" w:space="0"/>
              <w:right w:val="double" w:color="000000" w:sz="6" w:space="0"/>
            </w:tcBorders>
            <w:shd w:val="clear" w:color="auto" w:fill="FFFFFF"/>
            <w:tcMar>
              <w:left w:w="108" w:type="dxa"/>
              <w:right w:w="108" w:type="dxa"/>
            </w:tcMar>
            <w:vAlign w:val="center"/>
          </w:tcPr>
          <w:p w14:paraId="3DE4C00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color w:val="333333"/>
                <w:spacing w:val="0"/>
                <w:kern w:val="0"/>
                <w:sz w:val="24"/>
                <w:szCs w:val="24"/>
                <w:bdr w:val="none" w:color="auto" w:sz="0" w:space="0"/>
                <w:lang w:val="en-US" w:eastAsia="zh-CN" w:bidi="ar"/>
              </w:rPr>
              <w:t>主要观测点</w:t>
            </w:r>
          </w:p>
        </w:tc>
      </w:tr>
      <w:tr w14:paraId="6E1CF7A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05" w:hRule="atLeast"/>
        </w:trPr>
        <w:tc>
          <w:tcPr>
            <w:tcW w:w="0" w:type="auto"/>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3DD66B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内容</w:t>
            </w:r>
          </w:p>
        </w:tc>
        <w:tc>
          <w:tcPr>
            <w:tcW w:w="90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E25EAC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基础分</w:t>
            </w:r>
          </w:p>
        </w:tc>
        <w:tc>
          <w:tcPr>
            <w:tcW w:w="1125"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087CFF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内  容</w:t>
            </w:r>
          </w:p>
        </w:tc>
        <w:tc>
          <w:tcPr>
            <w:tcW w:w="915"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1B1BB5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基础分</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9AC96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内   容</w:t>
            </w:r>
          </w:p>
        </w:tc>
        <w:tc>
          <w:tcPr>
            <w:tcW w:w="600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3EFC85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b/>
                <w:bCs/>
                <w:i w:val="0"/>
                <w:iCs w:val="0"/>
                <w:caps/>
                <w:color w:val="333333"/>
                <w:spacing w:val="0"/>
                <w:kern w:val="0"/>
                <w:sz w:val="24"/>
                <w:szCs w:val="24"/>
                <w:bdr w:val="none" w:color="auto" w:sz="0" w:space="0"/>
                <w:lang w:val="en-US" w:eastAsia="zh-CN" w:bidi="ar"/>
              </w:rPr>
              <w:t>计分方式</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4BD028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4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基础分</w:t>
            </w:r>
          </w:p>
        </w:tc>
      </w:tr>
      <w:tr w14:paraId="7CDBBFF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restart"/>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97BA8C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1</w:t>
            </w:r>
          </w:p>
          <w:p w14:paraId="59E4D1C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教学组织</w:t>
            </w:r>
          </w:p>
        </w:tc>
        <w:tc>
          <w:tcPr>
            <w:tcW w:w="90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3E6F223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15"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100分</w:t>
            </w: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D1EA2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1.1教学定位及规划</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03531A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532A4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1.1.1教学发展规划执行情况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029200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有目标、有规划，目标定位准确，思路清晰，执行方面具体，该项得满分；其余按比例得相应的分值。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4FFFD25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7D67F02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90D54F9">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6F54530">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ABADA50">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76A5985">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0D4996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1.1.2教学工作会议召开情况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22A11A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定期召开教学工作会议，每学期2次以上，该项目满分；每缺少一次扣5分。</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913D22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4C0E6DB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C5D3354">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51BC451">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2A5FD7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1.2教学管理队伍</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313148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18A902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1.2.1院部各级教学管理人员任务分工及职责</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056B0D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分工明确、责任具体，落实到人。有完善的规章制度；教学管理人员经常研究教学工作，及时解决教学工作中出现的问题，重视教师教学能力的提升，该项得满分；其余按比例得相应的分值。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9453E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43C62B3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582AFD9">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2E7C415">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5D063C8">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C020047">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3B9A7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1.2.2专业负责人、基层教学组织负责人任务分工及职责</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2AA66007">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C860C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57F08BD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0462C2F">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651301E">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4C4C5E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1.3教学管理制度及运行</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61F6E5F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3D4FE2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1.3.1院部教学管理制度建设清况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75C8F4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院部教学日常管理、评教、实践教学管理、实验室管理、督导、学生信息员管理、档案管理等制度，内容明确，切实可行，该项得满分；其余按比例得相应的分值。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9BC428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2CEF070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2D64CFF">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0851DBF">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403AF8D">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58C9CD6">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8AA39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1.3.2院部教学管理制度运行情况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62A870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能够按照院部相关管理制度严格执行，有完整、详实的记录，并有相关负责人的签字，该项得满分；其余按比例得相应的分值。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E611C9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29BD20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5" w:hRule="atLeast"/>
        </w:trPr>
        <w:tc>
          <w:tcPr>
            <w:tcW w:w="0" w:type="auto"/>
            <w:vMerge w:val="restart"/>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AD36E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w:t>
            </w:r>
          </w:p>
          <w:p w14:paraId="420D75A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教学</w:t>
            </w:r>
          </w:p>
          <w:p w14:paraId="4291807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常规管理</w:t>
            </w:r>
          </w:p>
        </w:tc>
        <w:tc>
          <w:tcPr>
            <w:tcW w:w="90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365B04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15"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400分</w:t>
            </w: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F7670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2.1教务系统使用与维护</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8F658F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12867A4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2.1.1教学计划和教学任务的设置及完成</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4B7BE9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按时、保质保量完成者得该项满分；每延误一个工作日扣1分。</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2EA0D8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0F0B641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6C8DC50">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897E836">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6814AE2">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ACA663D">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3C92657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2.1.2课表编排工作</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0D6F35EC">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E90802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7B26D2D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D996DBF">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280EA57">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C131485">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69E72FB">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67C0B0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2.1.3成绩录入工作</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4AF7BCE6">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5FE1ACB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6F6DADE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3EB7F21">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F45174D">
            <w:pPr>
              <w:rPr>
                <w:rFonts w:hint="default" w:ascii="Arial" w:hAnsi="Arial" w:eastAsia="Arial" w:cs="Arial"/>
                <w:i w:val="0"/>
                <w:iCs w:val="0"/>
                <w:caps w:val="0"/>
                <w:color w:val="333333"/>
                <w:spacing w:val="0"/>
                <w:sz w:val="21"/>
                <w:szCs w:val="21"/>
              </w:rPr>
            </w:pPr>
          </w:p>
        </w:tc>
        <w:tc>
          <w:tcPr>
            <w:tcW w:w="1125"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D253F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2.2教师管理</w:t>
            </w:r>
          </w:p>
        </w:tc>
        <w:tc>
          <w:tcPr>
            <w:tcW w:w="915"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1C16D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409CC25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2.2.1 教授、副教授承担教学比例</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1B08289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7AC55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0524E4B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95A1734">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70B100A">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6CDBEF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2.3日常教学管理</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32EAE8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35B0F2D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2.3.1 报送教学相关数据、报表、材料等的及时准确率</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1109BA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全面统计，及时准确率最高的院部得该项指标满分，其余按比例得相应的分值。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9843A6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r>
      <w:tr w14:paraId="667D204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314511F">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5DAC4A9">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FBD5ECD">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8428196">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249B951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2.3.2 教学日志（含班级日志）记录规范、完整程度</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17C84B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全面检查，规范、完整程度最高的院部得该项指标的满分，其余根据其规范、完整程度按一定比例得相应的分数。</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AACD6B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7E34DBA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1E156AE">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4463DA8">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AAD1AF5">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022836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4FEDCC0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2.3.3 学生旷课、迟到、早退人次比例</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447F2E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全面统计，负向最高值的院部得该项指标的满分，其余按比例得相应的分值。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239C295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r>
      <w:tr w14:paraId="7442918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C73830C">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D956428">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75286E2">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2AB84E2">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5FD4962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2.3.4 调课率</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3F5532B1">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22AE24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5E3BA8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3EC72A65">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EC7F54B">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5D48C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2.4教材管理</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287C395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DA510E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2.4.1 教材征订信息及时准确率</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6EBDA9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2EE9FB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702D79A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5"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5192C15">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0A2B39D">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49B2A67">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AA81832">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2DCDD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2.4.2 教材领取情况</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17EFA5FC">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E3FF1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2E0087B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786E7EE">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93FAEAB">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auto" w:sz="8" w:space="0"/>
              <w:right w:val="single" w:color="000000" w:sz="8" w:space="0"/>
            </w:tcBorders>
            <w:shd w:val="clear" w:color="auto" w:fill="FFFFFF"/>
            <w:tcMar>
              <w:left w:w="108" w:type="dxa"/>
              <w:right w:w="108" w:type="dxa"/>
            </w:tcMar>
            <w:vAlign w:val="center"/>
          </w:tcPr>
          <w:p w14:paraId="5A1F2A9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2.5实验教学管理</w:t>
            </w:r>
          </w:p>
        </w:tc>
        <w:tc>
          <w:tcPr>
            <w:tcW w:w="915" w:type="dxa"/>
            <w:vMerge w:val="restart"/>
            <w:tcBorders>
              <w:top w:val="nil"/>
              <w:left w:val="nil"/>
              <w:bottom w:val="single" w:color="auto" w:sz="8" w:space="0"/>
              <w:right w:val="single" w:color="000000" w:sz="8" w:space="0"/>
            </w:tcBorders>
            <w:shd w:val="clear" w:color="auto" w:fill="FFFFFF"/>
            <w:tcMar>
              <w:left w:w="108" w:type="dxa"/>
              <w:right w:w="108" w:type="dxa"/>
            </w:tcMar>
            <w:vAlign w:val="center"/>
          </w:tcPr>
          <w:p w14:paraId="66F9B2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8B2586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2.5.1 实验开出率达到教学大纲要求的比例</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345E124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7013A2E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48C433A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486"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561ABA46">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FBA98C2">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1BACAA94">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6980C9C0">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69C40B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2.5.2实验教学过程管理情况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2C893F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从实验计划、组织实施、效果、总结等方面评价，各项指标得分最高的院部得该项指标的满分，其余按实际情况进行量化，并按比例得相应的分值。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830C07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33241C9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6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C2FBFEC">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BDB9A05">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78633D7C">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2F197F3E">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37DAE0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2.5.3综合性、设计性、创新性实验项目比例</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7E7458F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F4458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266DD73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75"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0E8B8BB">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6B012CC">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42DD6718">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78EC8820">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auto" w:sz="8" w:space="0"/>
              <w:right w:val="single" w:color="000000" w:sz="8" w:space="0"/>
            </w:tcBorders>
            <w:shd w:val="clear" w:color="auto" w:fill="FFFFFF"/>
            <w:tcMar>
              <w:left w:w="108" w:type="dxa"/>
              <w:right w:w="108" w:type="dxa"/>
            </w:tcMar>
            <w:vAlign w:val="center"/>
          </w:tcPr>
          <w:p w14:paraId="4947D7B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2.5.4实验室开放比例</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A5EBDDE">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63C393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2794013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51E9FDF">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AC03EE6">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auto" w:sz="8" w:space="0"/>
              <w:right w:val="single" w:color="000000" w:sz="8" w:space="0"/>
            </w:tcBorders>
            <w:shd w:val="clear" w:color="auto" w:fill="FFFFFF"/>
            <w:tcMar>
              <w:left w:w="108" w:type="dxa"/>
              <w:right w:w="108" w:type="dxa"/>
            </w:tcMar>
            <w:vAlign w:val="center"/>
          </w:tcPr>
          <w:p w14:paraId="59C64EC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2.6实习实训管理</w:t>
            </w:r>
          </w:p>
        </w:tc>
        <w:tc>
          <w:tcPr>
            <w:tcW w:w="915" w:type="dxa"/>
            <w:vMerge w:val="restart"/>
            <w:tcBorders>
              <w:top w:val="nil"/>
              <w:left w:val="nil"/>
              <w:bottom w:val="single" w:color="auto" w:sz="8" w:space="0"/>
              <w:right w:val="single" w:color="000000" w:sz="8" w:space="0"/>
            </w:tcBorders>
            <w:shd w:val="clear" w:color="auto" w:fill="FFFFFF"/>
            <w:tcMar>
              <w:left w:w="108" w:type="dxa"/>
              <w:right w:w="108" w:type="dxa"/>
            </w:tcMar>
            <w:vAlign w:val="center"/>
          </w:tcPr>
          <w:p w14:paraId="22A37F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F0BCF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2.6.1 实训、见习、实习符合教学计划规定要求的比例</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2F2514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2AB8D30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0D30DCB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5041A05C">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7295BBB">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773EA417">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auto" w:sz="8" w:space="0"/>
              <w:right w:val="single" w:color="000000" w:sz="8" w:space="0"/>
            </w:tcBorders>
            <w:shd w:val="clear" w:color="auto" w:fill="FFFFFF"/>
            <w:tcMar>
              <w:left w:w="108" w:type="dxa"/>
              <w:right w:w="108" w:type="dxa"/>
            </w:tcMar>
            <w:vAlign w:val="center"/>
          </w:tcPr>
          <w:p w14:paraId="7BFB34D9">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977CB4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2.6.2 实习过程管理情况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3EB7CD1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从实习计划、组织实施、效果、总结等方面评价，各项指标得分最高的院部得该项指标的满分，其余按实际情况进行量化，并按比例得相应的分值。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FE732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r>
      <w:tr w14:paraId="342F238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501"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D9D738D">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36140F5">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6B586C7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2.7毕业论文（设计）管理</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2A5E6D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67853E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2.7.1 应届本科生毕业论文（设计）指导教师人数与指导学生数符合学校规定要求的比例</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290CE8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5BD51CE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69D1D7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3B040114">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F2AF452">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5ABCE2B">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C59D6B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D06E7D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2.7.2 应届本科生毕业论文（设计）过程管理情况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52ED3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从应届本科生毕业论文（设计）工作计划、组织实施、效果、总结等方面评价，各项指标得分最高的院部得该项指标的满分，其余按实际情况进行量化，并按比例得相应的分值。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2A0917B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415C393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7E4ACB7">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AB9E129">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BEC21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2.8课程考核与管理</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FEE9D5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45</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A3404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2.8.1 按规定命题的课程门数比例</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25FA0C2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37D412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14103C0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9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B5B192D">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B644D4E">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9073C2E">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97C22C1">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97507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2.8.2 考场安排情况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1410FEB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巡视检查，考场安排规范，得该项满分，不规范者不得分。</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5356EE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61D439D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662CE13">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3EFAFB3">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06292D2">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8575D2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F2E06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2.8.3 巡考、监考人员履行职责情况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94114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巡视检查，巡考、监考人员严格履行职责者，得该项满分；监考和巡考不力、考场秩序不良者不得分。</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7687817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15</w:t>
            </w:r>
          </w:p>
        </w:tc>
      </w:tr>
      <w:tr w14:paraId="49E19F1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2AFD851">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89AA3D8">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FB33963">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E4EF870">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30DF94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2.8.4过程化考核课程建设情况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617F166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5F4094E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11FFB51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B94C411">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8F26B04">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FC940F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2.9素质教育管理</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63329F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3581FB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2.9.1课程思政中心建设情况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6DFB0A3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院系建有课程思政中心，有效发挥中心职能。</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68EA12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2A23A0D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55AC5AC">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5E55632">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57A4ECE">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D4BCB05">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F27582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2.9.2美育开展情况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96CBC2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院部设计开展美育类相关活动、组织参与学校美育类相关活动，并有相应的支撑材料等。</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29CAF89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49A72D4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AF6FBAE">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F3AA8FF">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9A15D5A">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809E311">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5F283B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2.9.3劳动教育开展情况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15C0EB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劳动教育宣传月开展情况；劳动理论课学生参与情况；劳动实践课院部设计实施情况等。</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7EE22D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4FE5405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05B92E7">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BCB3AA2">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29A6DE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2.10教学档案管理</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6F20CD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55</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8B370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2.10.1 试卷存档情况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30CACF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试卷存档完整，整理规范，抽查统计，最高值的院部得该项指标的满分，其余按比例取得相应的分值。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F1B602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63403AC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E85CB38">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FB93AA4">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23559C3">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E1345DA">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43796F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2.10.2毕业论文（设计）存档情况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7B306F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毕业论文（设计）存档完整，整理规范，抽查统计，最高值的院部得该项指标的满分，其余按比例取得相应的分值。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243CA8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2801CF2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5B17E298">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59578AA">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7D214C1">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EADCF6A">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6195C7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2.10.3过程性考核材料存档情况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0E622A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过程性考核材料存档完整，整理规范，抽查统计，最高值的院部得该项指标的满分，其余按比例取得相应的分值。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329DE6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2B5ED6B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F3FBBB2">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77C468D">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A2D5107">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058699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CECD5E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2.10.4其他教学档案管理</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041BC1F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其他教学档案包括教学任务书、教学计划、教学总结、学生成绩单、教学（实验）日志、实习记录、培养方案异动、调停课审批表、过程化考核科目备案、教研活动计划总结以及其他教学管理运行过程中其他文件记录等。</w:t>
            </w:r>
          </w:p>
          <w:p w14:paraId="127AA3B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6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文档归档及时，目录归类合理，文件资料齐全，存放规整有序，该项指标的满分，其余根据其规范、完整程度按一定比例得相应的分数。</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0BDE5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25</w:t>
            </w:r>
          </w:p>
        </w:tc>
      </w:tr>
      <w:tr w14:paraId="759C97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restart"/>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5D24FB3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3</w:t>
            </w:r>
          </w:p>
          <w:p w14:paraId="2808F3D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教学建设</w:t>
            </w:r>
          </w:p>
        </w:tc>
        <w:tc>
          <w:tcPr>
            <w:tcW w:w="900" w:type="dxa"/>
            <w:vMerge w:val="restart"/>
            <w:tcBorders>
              <w:top w:val="nil"/>
              <w:left w:val="nil"/>
              <w:bottom w:val="single" w:color="000000" w:sz="8" w:space="0"/>
              <w:right w:val="single" w:color="000000" w:sz="8" w:space="0"/>
            </w:tcBorders>
            <w:shd w:val="clear" w:color="auto" w:fill="FFFFFF"/>
            <w:tcMar>
              <w:left w:w="108" w:type="dxa"/>
              <w:right w:w="108" w:type="dxa"/>
            </w:tcMar>
            <w:vAlign w:val="top"/>
          </w:tcPr>
          <w:p w14:paraId="47174F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15"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150分</w:t>
            </w: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3E252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3.1专业建设</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3D50A2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49BD31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3.1.1专业建设规划及落实情况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7C1D26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专业建设规划符合学校人才培养的总体思路，专业结构合理，该项得满分；其余按比例得相应的分值。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76B3EF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31E6A33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0A4EBC68">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7557B4BF">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9C052EB">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93697E2">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AB5B28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3.1.2应用型人才培养模式运行情况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406D8F6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学科建设规划明确，有清晰地建设思路，该项得满分；其余按比例得相应的分值。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79C520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5258B2E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215DB031">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6FA11CD2">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260B7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3.2课程建设</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617B20A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1277F0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3.2.1 教学大纲（含实验教学大纲）规范、完备程度及执行情况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4B5C2C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全面检查，规范、完整程度最高、执行严格的院部得该项指标的满分，其余根据其规范、完整程度按一定比例得相应的分数。</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04F31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797BCA4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9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2D7F345E">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59F913B9">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1151CE6">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4A2BE69">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FF2A43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3.2.2 课程建设情况</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96226E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5C9D73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44196B1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1F144556">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324DC670">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47CFB67">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7262D4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E8EDED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3.2.3开设通识教育选修课情况</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698DBA1E">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4E59C57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77DA9DE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0EC4D133">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39A9DC5C">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D938C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3.3教材建设</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0EA3917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512B0D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3.3.1执行教材建设规划情况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445EFC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严格执行教材建设规划，选用优质教材及“马工程”教材；自编教材突出应用型人才培养、适应应用型人才模式的教材。该项全面统计，最高值的院部得该项指标的满分，其余按比例得相应的分值。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9FB935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44643E7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3F26586E">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48FA4536">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1BC88E9">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B74AFD3">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A77E5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3.3.2 出版教材、著作情况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06A9E71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5B726AA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222252D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4E9E5028">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2A922A51">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FA93D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3.4实践教学建设</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F5C46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2EBFECD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3.4.1 实践教学建设规划及落实情况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3D65C0F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检查材料和执行效果并量化计分，根据各院部实际情况赋分。</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4199A4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574C208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top"/>
          </w:tcPr>
          <w:p w14:paraId="6B39C46F">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0389BE22">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2A6149E">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7FEAEE8">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2B553CF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3.4.2 实习实训基地数量</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40CE62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全面统计，专业拥有实践基地数量最高的院部得该项指标的满分，其余按比例得相应的分值。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17C3E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4C81E46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restart"/>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FF7461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4</w:t>
            </w:r>
          </w:p>
          <w:p w14:paraId="6A154D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教育教学研究</w:t>
            </w:r>
          </w:p>
        </w:tc>
        <w:tc>
          <w:tcPr>
            <w:tcW w:w="90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1E91A1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15"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50分</w:t>
            </w: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20B1509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4.1教育教学研究</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3303D68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50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52FCB2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4.1.1 教研活动开展及集体备课情况</w:t>
            </w:r>
          </w:p>
        </w:tc>
        <w:tc>
          <w:tcPr>
            <w:tcW w:w="6000" w:type="dxa"/>
            <w:vMerge w:val="restart"/>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2F7A0E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8AB314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6CE17A1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7B8202C">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1A8A6F7">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D05FC16">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3341A98">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3158597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4.1.2在学术期刊上发表的教研论文、教学管理论文人均篇数</w:t>
            </w:r>
          </w:p>
        </w:tc>
        <w:tc>
          <w:tcPr>
            <w:tcW w:w="6000" w:type="dxa"/>
            <w:vMerge w:val="continue"/>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5CD03552">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47E779F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319255B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76F4389">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1049972">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787EA28">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64EA98B">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2CE597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4.1.3网络教学平台的使用情况</w:t>
            </w:r>
          </w:p>
        </w:tc>
        <w:tc>
          <w:tcPr>
            <w:tcW w:w="6000" w:type="dxa"/>
            <w:vMerge w:val="continue"/>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76182BEF">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7AF377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2C892DB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360A0CD">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D4C066C">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A7E692D">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A0A744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top"/>
          </w:tcPr>
          <w:p w14:paraId="7B26CC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4.1.4网络教学研究的开展情况</w:t>
            </w:r>
          </w:p>
        </w:tc>
        <w:tc>
          <w:tcPr>
            <w:tcW w:w="6000" w:type="dxa"/>
            <w:vMerge w:val="continue"/>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3D31B193">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7429B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6407248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15" w:hRule="atLeast"/>
        </w:trPr>
        <w:tc>
          <w:tcPr>
            <w:tcW w:w="0" w:type="auto"/>
            <w:vMerge w:val="restart"/>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FD2C9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5</w:t>
            </w:r>
          </w:p>
          <w:p w14:paraId="59D3C1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教学效果</w:t>
            </w:r>
          </w:p>
        </w:tc>
        <w:tc>
          <w:tcPr>
            <w:tcW w:w="90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CD55ED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100分</w:t>
            </w: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60279AA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5.1基础理论掌握</w:t>
            </w:r>
          </w:p>
          <w:p w14:paraId="119C7D7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情况</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37C4860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420" w:right="0" w:hanging="42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FB6776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5.1.1 专业基础课、专业核心课及格率</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402BAE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5EF60F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104C245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0FDF75A">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C406500">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EFE8FEB">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F18E76F">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CC5315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5.1.2 专业基础课、专业核心课平均学分绩点</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281180B4">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A5E2E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624DA6F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5"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56322220">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3FE2AAC">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DB2DC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5.2毕业生情况</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A9E61B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420" w:right="0" w:hanging="42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60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881DDB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5.2.1应届生毕业率</w:t>
            </w:r>
          </w:p>
        </w:tc>
        <w:tc>
          <w:tcPr>
            <w:tcW w:w="6000" w:type="dxa"/>
            <w:vMerge w:val="restart"/>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1671620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66FE6C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r>
      <w:tr w14:paraId="1A060DA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58310B7F">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97E9356">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26E7975">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13D7AA4">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B9E99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5.2.2 应届本科生学士学位获得率</w:t>
            </w:r>
          </w:p>
        </w:tc>
        <w:tc>
          <w:tcPr>
            <w:tcW w:w="6000" w:type="dxa"/>
            <w:vMerge w:val="continue"/>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47D95FA0">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263BE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r>
      <w:tr w14:paraId="62B74CF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restart"/>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248BFE2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6</w:t>
            </w:r>
          </w:p>
          <w:p w14:paraId="03DBF4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教学质量管理</w:t>
            </w:r>
          </w:p>
        </w:tc>
        <w:tc>
          <w:tcPr>
            <w:tcW w:w="900" w:type="dxa"/>
            <w:vMerge w:val="restart"/>
            <w:tcBorders>
              <w:top w:val="nil"/>
              <w:left w:val="nil"/>
              <w:bottom w:val="double" w:color="000000" w:sz="6" w:space="0"/>
              <w:right w:val="single" w:color="000000" w:sz="8" w:space="0"/>
            </w:tcBorders>
            <w:shd w:val="clear" w:color="auto" w:fill="FFFFFF"/>
            <w:tcMar>
              <w:left w:w="108" w:type="dxa"/>
              <w:right w:w="108" w:type="dxa"/>
            </w:tcMar>
            <w:vAlign w:val="center"/>
          </w:tcPr>
          <w:p w14:paraId="2EDB1E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200</w:t>
            </w:r>
          </w:p>
        </w:tc>
        <w:tc>
          <w:tcPr>
            <w:tcW w:w="112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816C5C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6.1教学质量保障</w:t>
            </w:r>
          </w:p>
          <w:p w14:paraId="5977524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体系</w:t>
            </w:r>
          </w:p>
        </w:tc>
        <w:tc>
          <w:tcPr>
            <w:tcW w:w="915"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136D2B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420" w:right="0" w:hanging="42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60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8EA99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6.1.1教学质量保障体系落实情况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7A88989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教学质量保障体系内人员分工明确、责任具体，落实到人。有完善的规章制度，能及时反馈教学工作中出现的问题，该项得满分；其余按比例得相应的分值。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4CAC4F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4C81D3D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27B99FA5">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01486A45">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415C720">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DDAE20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35EB2A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6.1.2 教学督导组参与质量控制情况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3D1D25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督导人员分工明确、责任具体，能及时准确发现问题并能及时反馈，记录详实，该项得满分；其余按比例得相应的分值。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14F07CB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4D279FF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19BD2923">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3CB42167">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EFCB43D">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0E405DC">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5A07F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6.1.3学生教学信息员参与质量情况</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0E71BD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学生教学信息员职责明确，能及时准确发现问题并能及时反馈，记录详实，该项得满分；其余按比例得相应的分值。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264E0D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77FFD69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66338379">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7B2DFF82">
            <w:pPr>
              <w:rPr>
                <w:rFonts w:hint="default" w:ascii="Arial" w:hAnsi="Arial" w:eastAsia="Arial" w:cs="Arial"/>
                <w:i w:val="0"/>
                <w:iCs w:val="0"/>
                <w:caps w:val="0"/>
                <w:color w:val="333333"/>
                <w:spacing w:val="0"/>
                <w:sz w:val="21"/>
                <w:szCs w:val="21"/>
              </w:rPr>
            </w:pPr>
          </w:p>
        </w:tc>
        <w:tc>
          <w:tcPr>
            <w:tcW w:w="1125" w:type="dxa"/>
            <w:vMerge w:val="restart"/>
            <w:tcBorders>
              <w:top w:val="nil"/>
              <w:left w:val="nil"/>
              <w:bottom w:val="double" w:color="000000" w:sz="6" w:space="0"/>
              <w:right w:val="single" w:color="000000" w:sz="8" w:space="0"/>
            </w:tcBorders>
            <w:shd w:val="clear" w:color="auto" w:fill="FFFFFF"/>
            <w:tcMar>
              <w:left w:w="108" w:type="dxa"/>
              <w:right w:w="108" w:type="dxa"/>
            </w:tcMar>
            <w:vAlign w:val="top"/>
          </w:tcPr>
          <w:p w14:paraId="018D193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80" w:lineRule="atLeast"/>
              <w:ind w:left="0" w:right="0"/>
              <w:jc w:val="left"/>
            </w:pPr>
            <w:r>
              <w:rPr>
                <w:rFonts w:hint="eastAsia" w:ascii="宋体" w:hAnsi="宋体" w:eastAsia="宋体" w:cs="宋体"/>
                <w:b/>
                <w:bCs/>
                <w:i w:val="0"/>
                <w:iCs w:val="0"/>
                <w:caps w:val="0"/>
                <w:color w:val="333333"/>
                <w:spacing w:val="0"/>
                <w:kern w:val="0"/>
                <w:sz w:val="24"/>
                <w:szCs w:val="24"/>
                <w:bdr w:val="none" w:color="auto" w:sz="0" w:space="0"/>
                <w:lang w:val="en-US" w:eastAsia="zh-CN" w:bidi="ar"/>
              </w:rPr>
              <w:t>6.2教学质量监测</w:t>
            </w:r>
          </w:p>
        </w:tc>
        <w:tc>
          <w:tcPr>
            <w:tcW w:w="915" w:type="dxa"/>
            <w:vMerge w:val="restart"/>
            <w:tcBorders>
              <w:top w:val="nil"/>
              <w:left w:val="nil"/>
              <w:bottom w:val="double" w:color="000000" w:sz="6" w:space="0"/>
              <w:right w:val="single" w:color="000000" w:sz="8" w:space="0"/>
            </w:tcBorders>
            <w:shd w:val="clear" w:color="auto" w:fill="FFFFFF"/>
            <w:tcMar>
              <w:left w:w="108" w:type="dxa"/>
              <w:right w:w="108" w:type="dxa"/>
            </w:tcMar>
            <w:vAlign w:val="top"/>
          </w:tcPr>
          <w:p w14:paraId="377787B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00" w:lineRule="atLeast"/>
              <w:ind w:left="420" w:right="0" w:hanging="42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140</w:t>
            </w: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DEE3A5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6.2.1加强质量监测的具体措施及效果分析</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7FE500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质量监测措施具体可操作，每学期进行一次教学质量分析，该项满分；其余按比例得相应分数。</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AE28D4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r w14:paraId="096B1AA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5D32BD95">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773E98FC">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4D411509">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3EAD2699">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F606D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6.2.2督导工作总结材料</w:t>
            </w:r>
          </w:p>
        </w:tc>
        <w:tc>
          <w:tcPr>
            <w:tcW w:w="6000" w:type="dxa"/>
            <w:tcBorders>
              <w:top w:val="nil"/>
              <w:left w:val="nil"/>
              <w:bottom w:val="single" w:color="000000" w:sz="8" w:space="0"/>
              <w:right w:val="single" w:color="000000" w:sz="8" w:space="0"/>
            </w:tcBorders>
            <w:shd w:val="clear" w:color="auto" w:fill="FFFFFF"/>
            <w:tcMar>
              <w:top w:w="85" w:type="dxa"/>
              <w:left w:w="108" w:type="dxa"/>
              <w:bottom w:w="85" w:type="dxa"/>
              <w:right w:w="108" w:type="dxa"/>
            </w:tcMar>
            <w:vAlign w:val="center"/>
          </w:tcPr>
          <w:p w14:paraId="50C44B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内容包括督导制度建设、信息收集、信息反馈等，该项满分；其余按比例得相应分数。</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41839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5337227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0B3EB61A">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49400FFA">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32B4F9B7">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512A66B1">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92A220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6.2.3学期听课任务完成比例</w:t>
            </w:r>
          </w:p>
        </w:tc>
        <w:tc>
          <w:tcPr>
            <w:tcW w:w="6000" w:type="dxa"/>
            <w:vMerge w:val="restart"/>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7872C19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全面统计，最高值的院部得该项指标的满分，其余按比例得相应的分值。</w:t>
            </w: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00587C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763F689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1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676C1FA3">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635445E5">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5517193A">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02F61471">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E7B06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6.2.4领导听课任务完成比例</w:t>
            </w:r>
          </w:p>
        </w:tc>
        <w:tc>
          <w:tcPr>
            <w:tcW w:w="6000" w:type="dxa"/>
            <w:vMerge w:val="continue"/>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18AD081D">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37377E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10</w:t>
            </w:r>
          </w:p>
        </w:tc>
      </w:tr>
      <w:tr w14:paraId="0733502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5"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662B9882">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52B2BF03">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40F3AD03">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15D25F97">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27B62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6.2.5学生评教情况</w:t>
            </w:r>
          </w:p>
        </w:tc>
        <w:tc>
          <w:tcPr>
            <w:tcW w:w="6000" w:type="dxa"/>
            <w:vMerge w:val="continue"/>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6C90D50D">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000000" w:sz="8" w:space="0"/>
              <w:right w:val="double" w:color="000000" w:sz="6" w:space="0"/>
            </w:tcBorders>
            <w:shd w:val="clear" w:color="auto" w:fill="FFFFFF"/>
            <w:tcMar>
              <w:left w:w="108" w:type="dxa"/>
              <w:right w:w="108" w:type="dxa"/>
            </w:tcMar>
            <w:vAlign w:val="center"/>
          </w:tcPr>
          <w:p w14:paraId="5CDF70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40</w:t>
            </w:r>
          </w:p>
        </w:tc>
      </w:tr>
      <w:tr w14:paraId="0E57004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4583A711">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351B8505">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7FA5EE0D">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580E7FA4">
            <w:pPr>
              <w:rPr>
                <w:rFonts w:hint="default" w:ascii="Arial" w:hAnsi="Arial" w:eastAsia="Arial" w:cs="Arial"/>
                <w:i w:val="0"/>
                <w:iCs w:val="0"/>
                <w:caps w:val="0"/>
                <w:color w:val="333333"/>
                <w:spacing w:val="0"/>
                <w:sz w:val="21"/>
                <w:szCs w:val="21"/>
              </w:rPr>
            </w:pPr>
          </w:p>
        </w:tc>
        <w:tc>
          <w:tcPr>
            <w:tcW w:w="3720" w:type="dxa"/>
            <w:tcBorders>
              <w:top w:val="nil"/>
              <w:left w:val="nil"/>
              <w:bottom w:val="single" w:color="auto" w:sz="8" w:space="0"/>
              <w:right w:val="single" w:color="000000" w:sz="8" w:space="0"/>
            </w:tcBorders>
            <w:shd w:val="clear" w:color="auto" w:fill="FFFFFF"/>
            <w:tcMar>
              <w:left w:w="108" w:type="dxa"/>
              <w:right w:w="108" w:type="dxa"/>
            </w:tcMar>
            <w:vAlign w:val="center"/>
          </w:tcPr>
          <w:p w14:paraId="381EBE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6.2.6学校督导组课堂教学状态评价情况</w:t>
            </w:r>
          </w:p>
        </w:tc>
        <w:tc>
          <w:tcPr>
            <w:tcW w:w="6000" w:type="dxa"/>
            <w:vMerge w:val="continue"/>
            <w:tcBorders>
              <w:top w:val="nil"/>
              <w:left w:val="nil"/>
              <w:bottom w:val="single" w:color="auto" w:sz="8" w:space="0"/>
              <w:right w:val="single" w:color="000000" w:sz="8" w:space="0"/>
            </w:tcBorders>
            <w:shd w:val="clear" w:color="auto" w:fill="FFFFFF"/>
            <w:tcMar>
              <w:top w:w="85" w:type="dxa"/>
              <w:left w:w="108" w:type="dxa"/>
              <w:bottom w:w="85" w:type="dxa"/>
              <w:right w:w="108" w:type="dxa"/>
            </w:tcMar>
            <w:vAlign w:val="center"/>
          </w:tcPr>
          <w:p w14:paraId="170DC474">
            <w:pPr>
              <w:rPr>
                <w:rFonts w:hint="default" w:ascii="Arial" w:hAnsi="Arial" w:eastAsia="Arial" w:cs="Arial"/>
                <w:i w:val="0"/>
                <w:iCs w:val="0"/>
                <w:caps w:val="0"/>
                <w:color w:val="333333"/>
                <w:spacing w:val="0"/>
                <w:sz w:val="21"/>
                <w:szCs w:val="21"/>
              </w:rPr>
            </w:pPr>
          </w:p>
        </w:tc>
        <w:tc>
          <w:tcPr>
            <w:tcW w:w="1005" w:type="dxa"/>
            <w:tcBorders>
              <w:top w:val="nil"/>
              <w:left w:val="nil"/>
              <w:bottom w:val="single" w:color="auto" w:sz="8" w:space="0"/>
              <w:right w:val="double" w:color="000000" w:sz="6" w:space="0"/>
            </w:tcBorders>
            <w:shd w:val="clear" w:color="auto" w:fill="FFFFFF"/>
            <w:tcMar>
              <w:left w:w="108" w:type="dxa"/>
              <w:right w:w="108" w:type="dxa"/>
            </w:tcMar>
            <w:vAlign w:val="center"/>
          </w:tcPr>
          <w:p w14:paraId="4B3ECE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30</w:t>
            </w:r>
          </w:p>
        </w:tc>
      </w:tr>
      <w:tr w14:paraId="09F14AD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20"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7B3AB4CC">
            <w:pPr>
              <w:rPr>
                <w:rFonts w:hint="default" w:ascii="Arial" w:hAnsi="Arial" w:eastAsia="Arial" w:cs="Arial"/>
                <w:i w:val="0"/>
                <w:iCs w:val="0"/>
                <w:caps w:val="0"/>
                <w:color w:val="333333"/>
                <w:spacing w:val="0"/>
                <w:sz w:val="21"/>
                <w:szCs w:val="21"/>
              </w:rPr>
            </w:pPr>
          </w:p>
        </w:tc>
        <w:tc>
          <w:tcPr>
            <w:tcW w:w="900" w:type="dxa"/>
            <w:vMerge w:val="continue"/>
            <w:tcBorders>
              <w:top w:val="nil"/>
              <w:left w:val="nil"/>
              <w:bottom w:val="double" w:color="000000" w:sz="6" w:space="0"/>
              <w:right w:val="single" w:color="000000" w:sz="8" w:space="0"/>
            </w:tcBorders>
            <w:shd w:val="clear" w:color="auto" w:fill="FFFFFF"/>
            <w:tcMar>
              <w:left w:w="108" w:type="dxa"/>
              <w:right w:w="108" w:type="dxa"/>
            </w:tcMar>
            <w:vAlign w:val="center"/>
          </w:tcPr>
          <w:p w14:paraId="0F032687">
            <w:pPr>
              <w:rPr>
                <w:rFonts w:hint="default" w:ascii="Arial" w:hAnsi="Arial" w:eastAsia="Arial" w:cs="Arial"/>
                <w:i w:val="0"/>
                <w:iCs w:val="0"/>
                <w:caps w:val="0"/>
                <w:color w:val="333333"/>
                <w:spacing w:val="0"/>
                <w:sz w:val="21"/>
                <w:szCs w:val="21"/>
              </w:rPr>
            </w:pPr>
          </w:p>
        </w:tc>
        <w:tc>
          <w:tcPr>
            <w:tcW w:w="112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5D54AF0F">
            <w:pPr>
              <w:rPr>
                <w:rFonts w:hint="default" w:ascii="Arial" w:hAnsi="Arial" w:eastAsia="Arial" w:cs="Arial"/>
                <w:i w:val="0"/>
                <w:iCs w:val="0"/>
                <w:caps w:val="0"/>
                <w:color w:val="333333"/>
                <w:spacing w:val="0"/>
                <w:sz w:val="21"/>
                <w:szCs w:val="21"/>
              </w:rPr>
            </w:pPr>
          </w:p>
        </w:tc>
        <w:tc>
          <w:tcPr>
            <w:tcW w:w="915" w:type="dxa"/>
            <w:vMerge w:val="continue"/>
            <w:tcBorders>
              <w:top w:val="nil"/>
              <w:left w:val="nil"/>
              <w:bottom w:val="double" w:color="000000" w:sz="6" w:space="0"/>
              <w:right w:val="single" w:color="000000" w:sz="8" w:space="0"/>
            </w:tcBorders>
            <w:shd w:val="clear" w:color="auto" w:fill="FFFFFF"/>
            <w:tcMar>
              <w:left w:w="108" w:type="dxa"/>
              <w:right w:w="108" w:type="dxa"/>
            </w:tcMar>
            <w:vAlign w:val="top"/>
          </w:tcPr>
          <w:p w14:paraId="51950CF2">
            <w:pPr>
              <w:rPr>
                <w:rFonts w:hint="default" w:ascii="Arial" w:hAnsi="Arial" w:eastAsia="Arial" w:cs="Arial"/>
                <w:i w:val="0"/>
                <w:iCs w:val="0"/>
                <w:caps w:val="0"/>
                <w:color w:val="333333"/>
                <w:spacing w:val="0"/>
                <w:sz w:val="21"/>
                <w:szCs w:val="21"/>
              </w:rPr>
            </w:pPr>
          </w:p>
        </w:tc>
        <w:tc>
          <w:tcPr>
            <w:tcW w:w="3720" w:type="dxa"/>
            <w:tcBorders>
              <w:top w:val="nil"/>
              <w:left w:val="nil"/>
              <w:bottom w:val="double" w:color="000000" w:sz="6" w:space="0"/>
              <w:right w:val="single" w:color="000000" w:sz="8" w:space="0"/>
            </w:tcBorders>
            <w:shd w:val="clear" w:color="auto" w:fill="FFFFFF"/>
            <w:tcMar>
              <w:left w:w="108" w:type="dxa"/>
              <w:right w:w="108" w:type="dxa"/>
            </w:tcMar>
            <w:vAlign w:val="center"/>
          </w:tcPr>
          <w:p w14:paraId="70CD142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6.2.7教师评学情况</w:t>
            </w:r>
          </w:p>
        </w:tc>
        <w:tc>
          <w:tcPr>
            <w:tcW w:w="6000" w:type="dxa"/>
            <w:tcBorders>
              <w:top w:val="nil"/>
              <w:left w:val="nil"/>
              <w:bottom w:val="double" w:color="000000" w:sz="6" w:space="0"/>
              <w:right w:val="single" w:color="000000" w:sz="8" w:space="0"/>
            </w:tcBorders>
            <w:shd w:val="clear" w:color="auto" w:fill="FFFFFF"/>
            <w:tcMar>
              <w:left w:w="108" w:type="dxa"/>
              <w:right w:w="108" w:type="dxa"/>
            </w:tcMar>
            <w:vAlign w:val="top"/>
          </w:tcPr>
          <w:p w14:paraId="6BD2DB3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内容包括学院任课教师对学情的反馈、辅导员和班导师对学情的分析及整改措施记录详实，该项得满分；其余按比例得相应分数。</w:t>
            </w:r>
          </w:p>
        </w:tc>
        <w:tc>
          <w:tcPr>
            <w:tcW w:w="1005" w:type="dxa"/>
            <w:tcBorders>
              <w:top w:val="nil"/>
              <w:left w:val="nil"/>
              <w:bottom w:val="double" w:color="000000" w:sz="6" w:space="0"/>
              <w:right w:val="double" w:color="000000" w:sz="6" w:space="0"/>
            </w:tcBorders>
            <w:shd w:val="clear" w:color="auto" w:fill="FFFFFF"/>
            <w:tcMar>
              <w:left w:w="108" w:type="dxa"/>
              <w:right w:w="108" w:type="dxa"/>
            </w:tcMar>
            <w:vAlign w:val="center"/>
          </w:tcPr>
          <w:p w14:paraId="5B649E3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70" w:lineRule="atLeast"/>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20</w:t>
            </w:r>
          </w:p>
        </w:tc>
      </w:tr>
    </w:tbl>
    <w:p w14:paraId="214CEE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120"/>
        <w:jc w:val="left"/>
        <w:rPr>
          <w:rFonts w:hint="default" w:ascii="Arial" w:hAnsi="Arial" w:eastAsia="Arial" w:cs="Arial"/>
          <w:i w:val="0"/>
          <w:iCs w:val="0"/>
          <w:caps w:val="0"/>
          <w:color w:val="333333"/>
          <w:spacing w:val="0"/>
          <w:sz w:val="21"/>
          <w:szCs w:val="21"/>
        </w:rPr>
      </w:pPr>
      <w:r>
        <w:rPr>
          <w:rFonts w:ascii="仿宋_GB2312" w:hAnsi="Arial" w:eastAsia="仿宋_GB2312" w:cs="仿宋_GB2312"/>
          <w:i w:val="0"/>
          <w:iCs w:val="0"/>
          <w:caps w:val="0"/>
          <w:color w:val="FFFFFF"/>
          <w:spacing w:val="0"/>
          <w:kern w:val="0"/>
          <w:sz w:val="24"/>
          <w:szCs w:val="24"/>
          <w:bdr w:val="none" w:color="auto" w:sz="0" w:space="0"/>
          <w:shd w:val="clear" w:fill="FFFFFF"/>
          <w:lang w:val="en-US" w:eastAsia="zh-CN" w:bidi="ar"/>
        </w:rPr>
        <w:t>注：常规教学考评基础分为</w:t>
      </w:r>
      <w:r>
        <w:rPr>
          <w:rFonts w:hint="default" w:ascii="仿宋_GB2312" w:hAnsi="Arial" w:eastAsia="仿宋_GB2312" w:cs="仿宋_GB2312"/>
          <w:i w:val="0"/>
          <w:iCs w:val="0"/>
          <w:caps w:val="0"/>
          <w:color w:val="333333"/>
          <w:spacing w:val="0"/>
          <w:kern w:val="0"/>
          <w:sz w:val="24"/>
          <w:szCs w:val="24"/>
          <w:bdr w:val="none" w:color="auto" w:sz="0" w:space="0"/>
          <w:shd w:val="clear" w:fill="FFFFFF"/>
          <w:lang w:val="en-US" w:eastAsia="zh-CN" w:bidi="ar"/>
        </w:rPr>
        <w:t>1000分。</w:t>
      </w:r>
    </w:p>
    <w:p w14:paraId="37F420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56" w:afterAutospacing="0" w:line="400" w:lineRule="atLeast"/>
        <w:ind w:left="0" w:right="0" w:firstLine="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716CB6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56" w:afterAutospacing="0" w:line="400" w:lineRule="atLeast"/>
        <w:ind w:left="0" w:right="0" w:firstLine="0"/>
        <w:jc w:val="center"/>
        <w:rPr>
          <w:rFonts w:hint="default" w:ascii="Arial" w:hAnsi="Arial" w:eastAsia="Arial" w:cs="Arial"/>
          <w:i w:val="0"/>
          <w:iCs w:val="0"/>
          <w:caps w:val="0"/>
          <w:color w:val="333333"/>
          <w:spacing w:val="0"/>
          <w:sz w:val="21"/>
          <w:szCs w:val="21"/>
        </w:rPr>
      </w:pPr>
      <w:r>
        <w:rPr>
          <w:rFonts w:hint="eastAsia" w:ascii="宋体" w:hAnsi="宋体" w:eastAsia="宋体" w:cs="宋体"/>
          <w:b/>
          <w:bCs/>
          <w:i w:val="0"/>
          <w:iCs w:val="0"/>
          <w:caps w:val="0"/>
          <w:color w:val="333333"/>
          <w:spacing w:val="0"/>
          <w:kern w:val="0"/>
          <w:sz w:val="36"/>
          <w:szCs w:val="36"/>
          <w:bdr w:val="none" w:color="auto" w:sz="0" w:space="0"/>
          <w:shd w:val="clear" w:fill="FFFFFF"/>
          <w:lang w:val="en-US" w:eastAsia="zh-CN" w:bidi="ar"/>
        </w:rPr>
        <w:t>赤峰学院教学工作考核评价指标体系—加（减）分项部分</w:t>
      </w:r>
    </w:p>
    <w:tbl>
      <w:tblPr>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532"/>
        <w:gridCol w:w="1380"/>
        <w:gridCol w:w="1695"/>
        <w:gridCol w:w="870"/>
        <w:gridCol w:w="4045"/>
      </w:tblGrid>
      <w:tr w14:paraId="2DC4DAA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0" w:type="auto"/>
            <w:tcBorders>
              <w:top w:val="double" w:color="000000" w:sz="6" w:space="0"/>
              <w:left w:val="double" w:color="000000" w:sz="6" w:space="0"/>
              <w:bottom w:val="single" w:color="000000" w:sz="8" w:space="0"/>
              <w:right w:val="single" w:color="000000" w:sz="8" w:space="0"/>
            </w:tcBorders>
            <w:shd w:val="clear" w:color="auto" w:fill="FFFFFF"/>
            <w:tcMar>
              <w:left w:w="108" w:type="dxa"/>
              <w:right w:w="108" w:type="dxa"/>
            </w:tcMar>
            <w:vAlign w:val="center"/>
          </w:tcPr>
          <w:p w14:paraId="77B6120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color w:val="333333"/>
                <w:spacing w:val="0"/>
                <w:kern w:val="0"/>
                <w:sz w:val="24"/>
                <w:szCs w:val="24"/>
                <w:bdr w:val="none" w:color="auto" w:sz="0" w:space="0"/>
                <w:lang w:val="en-US" w:eastAsia="zh-CN" w:bidi="ar"/>
              </w:rPr>
              <w:t>性质</w:t>
            </w:r>
          </w:p>
        </w:tc>
        <w:tc>
          <w:tcPr>
            <w:tcW w:w="1380" w:type="dxa"/>
            <w:tcBorders>
              <w:top w:val="double" w:color="000000" w:sz="6" w:space="0"/>
              <w:left w:val="nil"/>
              <w:bottom w:val="single" w:color="000000" w:sz="8" w:space="0"/>
              <w:right w:val="single" w:color="000000" w:sz="8" w:space="0"/>
            </w:tcBorders>
            <w:shd w:val="clear" w:color="auto" w:fill="FFFFFF"/>
            <w:tcMar>
              <w:left w:w="108" w:type="dxa"/>
              <w:right w:w="108" w:type="dxa"/>
            </w:tcMar>
            <w:vAlign w:val="center"/>
          </w:tcPr>
          <w:p w14:paraId="4569B30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color w:val="333333"/>
                <w:spacing w:val="0"/>
                <w:kern w:val="0"/>
                <w:sz w:val="24"/>
                <w:szCs w:val="24"/>
                <w:bdr w:val="none" w:color="auto" w:sz="0" w:space="0"/>
                <w:lang w:val="en-US" w:eastAsia="zh-CN" w:bidi="ar"/>
              </w:rPr>
              <w:t>项目类别</w:t>
            </w:r>
          </w:p>
        </w:tc>
        <w:tc>
          <w:tcPr>
            <w:tcW w:w="2565" w:type="dxa"/>
            <w:gridSpan w:val="2"/>
            <w:tcBorders>
              <w:top w:val="double" w:color="000000" w:sz="6" w:space="0"/>
              <w:left w:val="nil"/>
              <w:bottom w:val="single" w:color="000000" w:sz="8" w:space="0"/>
              <w:right w:val="single" w:color="000000" w:sz="8" w:space="0"/>
            </w:tcBorders>
            <w:shd w:val="clear" w:color="auto" w:fill="FFFFFF"/>
            <w:tcMar>
              <w:left w:w="108" w:type="dxa"/>
              <w:right w:w="108" w:type="dxa"/>
            </w:tcMar>
            <w:vAlign w:val="center"/>
          </w:tcPr>
          <w:p w14:paraId="5B8FF1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color w:val="333333"/>
                <w:spacing w:val="0"/>
                <w:kern w:val="0"/>
                <w:sz w:val="24"/>
                <w:szCs w:val="24"/>
                <w:bdr w:val="none" w:color="auto" w:sz="0" w:space="0"/>
                <w:lang w:val="en-US" w:eastAsia="zh-CN" w:bidi="ar"/>
              </w:rPr>
              <w:t>主要观测点</w:t>
            </w:r>
          </w:p>
        </w:tc>
        <w:tc>
          <w:tcPr>
            <w:tcW w:w="0" w:type="auto"/>
            <w:tcBorders>
              <w:top w:val="double" w:color="000000" w:sz="6" w:space="0"/>
              <w:left w:val="nil"/>
              <w:bottom w:val="single" w:color="000000" w:sz="8" w:space="0"/>
              <w:right w:val="double" w:color="000000" w:sz="6" w:space="0"/>
            </w:tcBorders>
            <w:shd w:val="clear" w:color="auto" w:fill="FFFFFF"/>
            <w:tcMar>
              <w:left w:w="108" w:type="dxa"/>
              <w:right w:w="108" w:type="dxa"/>
            </w:tcMar>
            <w:vAlign w:val="center"/>
          </w:tcPr>
          <w:p w14:paraId="6C05D6F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color w:val="333333"/>
                <w:spacing w:val="0"/>
                <w:kern w:val="0"/>
                <w:sz w:val="24"/>
                <w:szCs w:val="24"/>
                <w:bdr w:val="none" w:color="auto" w:sz="0" w:space="0"/>
                <w:lang w:val="en-US" w:eastAsia="zh-CN" w:bidi="ar"/>
              </w:rPr>
              <w:t>分  值</w:t>
            </w:r>
          </w:p>
        </w:tc>
      </w:tr>
      <w:tr w14:paraId="55352BF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restart"/>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0B827C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2ABE64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516FE3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368726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130878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7FD0CE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加分项目</w:t>
            </w:r>
          </w:p>
          <w:p w14:paraId="2307E6D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4BAA860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25730D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2779653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2A85F99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7E53B83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5ABCF8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06AF0A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156AEE1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688234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5598AA7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6C3355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36A57D1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6ADB394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4F7ECF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346AA6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default" w:ascii="Arial" w:hAnsi="Arial" w:eastAsia="Arial" w:cs="Arial"/>
                <w:i w:val="0"/>
                <w:iCs w:val="0"/>
                <w:caps w:val="0"/>
                <w:color w:val="333333"/>
                <w:spacing w:val="0"/>
                <w:kern w:val="0"/>
                <w:sz w:val="24"/>
                <w:szCs w:val="24"/>
                <w:bdr w:val="none" w:color="auto" w:sz="0" w:space="0"/>
                <w:lang w:val="en-US" w:eastAsia="zh-CN" w:bidi="ar"/>
              </w:rPr>
              <w:t> </w:t>
            </w:r>
          </w:p>
          <w:p w14:paraId="1F760BA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加分项目</w:t>
            </w:r>
          </w:p>
        </w:tc>
        <w:tc>
          <w:tcPr>
            <w:tcW w:w="138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15119B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1</w:t>
            </w:r>
          </w:p>
          <w:p w14:paraId="5CED82D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专业建设</w:t>
            </w:r>
          </w:p>
          <w:p w14:paraId="0AC1409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项目</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726376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1.1 一流专业建设点</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64250F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新增国家级一流本科专业建设点加150分，自治区级加80分，校级加20分。</w:t>
            </w:r>
          </w:p>
        </w:tc>
      </w:tr>
      <w:tr w14:paraId="28D7798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C2F1E9C">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2F0E271">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5A35A17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1.2 新增本科专业</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3C09E4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当年新增本科专业加50分。</w:t>
            </w:r>
          </w:p>
        </w:tc>
      </w:tr>
      <w:tr w14:paraId="39541A3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3D733FC4">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F5CF42C">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54D7CF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1.3专业建设效果评价</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48E8988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通过教育部各类专业认证加20分。</w:t>
            </w:r>
          </w:p>
        </w:tc>
      </w:tr>
      <w:tr w14:paraId="0B2754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10EB8D2">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0CAF120">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502844A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1.4产学研合作</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14A97EC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院部与社会的产学研合作中，引入社会资金每十万元加10分；引入师资、课程加10分；共建实验室、实习基地一项加20分。</w:t>
            </w:r>
          </w:p>
        </w:tc>
      </w:tr>
      <w:tr w14:paraId="773A346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3F642096">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9788DA8">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4EBB3BC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1.5 现代产业学院、示范性特色学院建设</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4ECC874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新增自治区级现代产业学院、示范性特色学院加100分。</w:t>
            </w:r>
          </w:p>
        </w:tc>
      </w:tr>
      <w:tr w14:paraId="242BB93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425AD83F">
            <w:pPr>
              <w:rPr>
                <w:rFonts w:hint="default" w:ascii="Arial" w:hAnsi="Arial" w:eastAsia="Arial" w:cs="Arial"/>
                <w:i w:val="0"/>
                <w:iCs w:val="0"/>
                <w:caps w:val="0"/>
                <w:color w:val="333333"/>
                <w:spacing w:val="0"/>
                <w:sz w:val="21"/>
                <w:szCs w:val="21"/>
              </w:rPr>
            </w:pPr>
          </w:p>
        </w:tc>
        <w:tc>
          <w:tcPr>
            <w:tcW w:w="138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AA0B5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2</w:t>
            </w:r>
          </w:p>
          <w:p w14:paraId="27BDEA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课程建设</w:t>
            </w:r>
          </w:p>
          <w:p w14:paraId="1EC52B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项目</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5CA06FE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2.1 一流课程</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15E3C1C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国家级加100分，自治区级加50分，校级加10分。</w:t>
            </w:r>
          </w:p>
        </w:tc>
      </w:tr>
      <w:tr w14:paraId="6371B1C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6CCA555">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A0366B6">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5661699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2.2校级课程建设项目</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6FE650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校级加10分。</w:t>
            </w:r>
          </w:p>
        </w:tc>
      </w:tr>
      <w:tr w14:paraId="71308C7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BDCE222">
            <w:pPr>
              <w:rPr>
                <w:rFonts w:hint="default" w:ascii="Arial" w:hAnsi="Arial" w:eastAsia="Arial" w:cs="Arial"/>
                <w:i w:val="0"/>
                <w:iCs w:val="0"/>
                <w:caps w:val="0"/>
                <w:color w:val="333333"/>
                <w:spacing w:val="0"/>
                <w:sz w:val="21"/>
                <w:szCs w:val="21"/>
              </w:rPr>
            </w:pPr>
          </w:p>
        </w:tc>
        <w:tc>
          <w:tcPr>
            <w:tcW w:w="138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8B5A9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3</w:t>
            </w:r>
          </w:p>
          <w:p w14:paraId="12FAE8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实践教学</w:t>
            </w:r>
          </w:p>
          <w:p w14:paraId="784FBE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建设项目</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535DA8E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3.1 实验教学示范中心（基地）</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05C6D4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新增国家级实验教学示范中心加150分；自治区级加60分；校级加10分。</w:t>
            </w:r>
          </w:p>
        </w:tc>
      </w:tr>
      <w:tr w14:paraId="4D0A1B5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D99E849">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F5B37FA">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73AD50C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3.2新建实践教学基地</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16B3284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新建一处实践教学基地加10分。</w:t>
            </w:r>
          </w:p>
        </w:tc>
      </w:tr>
      <w:tr w14:paraId="16B3A4E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95"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3CABC77E">
            <w:pPr>
              <w:rPr>
                <w:rFonts w:hint="default" w:ascii="Arial" w:hAnsi="Arial" w:eastAsia="Arial" w:cs="Arial"/>
                <w:i w:val="0"/>
                <w:iCs w:val="0"/>
                <w:caps w:val="0"/>
                <w:color w:val="333333"/>
                <w:spacing w:val="0"/>
                <w:sz w:val="21"/>
                <w:szCs w:val="21"/>
              </w:rPr>
            </w:pPr>
          </w:p>
        </w:tc>
        <w:tc>
          <w:tcPr>
            <w:tcW w:w="138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2D31C2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4</w:t>
            </w:r>
          </w:p>
          <w:p w14:paraId="1B3DD0A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教师队伍</w:t>
            </w:r>
          </w:p>
          <w:p w14:paraId="747544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建设项目</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4C489B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4.1 教学团队</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72003ED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国家级教学团队加150分；自治区级加60分；校级加10分。</w:t>
            </w:r>
          </w:p>
        </w:tc>
      </w:tr>
      <w:tr w14:paraId="2D4E17F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2D73AEF">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5A1618C">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2969D7F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4.2 教学名师</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44923C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国家级教学名师加100分；自治区级加30分；校级加10分。</w:t>
            </w:r>
          </w:p>
        </w:tc>
      </w:tr>
      <w:tr w14:paraId="4C28304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0B1404F">
            <w:pPr>
              <w:rPr>
                <w:rFonts w:hint="default" w:ascii="Arial" w:hAnsi="Arial" w:eastAsia="Arial" w:cs="Arial"/>
                <w:i w:val="0"/>
                <w:iCs w:val="0"/>
                <w:caps w:val="0"/>
                <w:color w:val="333333"/>
                <w:spacing w:val="0"/>
                <w:sz w:val="21"/>
                <w:szCs w:val="21"/>
              </w:rPr>
            </w:pPr>
          </w:p>
        </w:tc>
        <w:tc>
          <w:tcPr>
            <w:tcW w:w="138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8670A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5</w:t>
            </w:r>
          </w:p>
          <w:p w14:paraId="06ABDC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教育教学</w:t>
            </w:r>
          </w:p>
          <w:p w14:paraId="5EEE890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研究项目</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711975F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5.1 教育教学研究项目</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3807352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新增国家级教育教学研究重点项目立项加60分，一般项目加40分；自治区级教育教学研究重点项目立项加24分，一般项目加12分；校级教学研究重点项目加10分，一般项目加5分。</w:t>
            </w:r>
          </w:p>
        </w:tc>
      </w:tr>
      <w:tr w14:paraId="41EBC4B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8FD4C6F">
            <w:pPr>
              <w:rPr>
                <w:rFonts w:hint="default" w:ascii="Arial" w:hAnsi="Arial" w:eastAsia="Arial" w:cs="Arial"/>
                <w:i w:val="0"/>
                <w:iCs w:val="0"/>
                <w:caps w:val="0"/>
                <w:color w:val="333333"/>
                <w:spacing w:val="0"/>
                <w:sz w:val="21"/>
                <w:szCs w:val="21"/>
              </w:rPr>
            </w:pPr>
          </w:p>
        </w:tc>
        <w:tc>
          <w:tcPr>
            <w:tcW w:w="138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3D09AD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6</w:t>
            </w:r>
          </w:p>
          <w:p w14:paraId="2FF6914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教学成果</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377D92A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6.1 教学成果</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02EAE6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当年新增国家级教学成果特等奖加500分，一等奖加300分，二等奖加200分；自治区级教学成果一等奖加200分，二等奖加100分，三等奖加50分；校级教学成果一等奖加20分，二等奖加10分，三等奖加5分。</w:t>
            </w:r>
          </w:p>
        </w:tc>
      </w:tr>
      <w:tr w14:paraId="6482952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F4E4955">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30EEA45">
            <w:pPr>
              <w:rPr>
                <w:rFonts w:hint="default" w:ascii="Arial" w:hAnsi="Arial" w:eastAsia="Arial" w:cs="Arial"/>
                <w:i w:val="0"/>
                <w:iCs w:val="0"/>
                <w:caps w:val="0"/>
                <w:color w:val="333333"/>
                <w:spacing w:val="0"/>
                <w:sz w:val="21"/>
                <w:szCs w:val="21"/>
              </w:rPr>
            </w:pPr>
          </w:p>
        </w:tc>
        <w:tc>
          <w:tcPr>
            <w:tcW w:w="1695" w:type="dxa"/>
            <w:vMerge w:val="restart"/>
            <w:tcBorders>
              <w:top w:val="nil"/>
              <w:left w:val="nil"/>
              <w:bottom w:val="single" w:color="000000" w:sz="8" w:space="0"/>
              <w:right w:val="single" w:color="000000" w:sz="8" w:space="0"/>
            </w:tcBorders>
            <w:shd w:val="clear" w:color="auto" w:fill="FFFFFF"/>
            <w:tcMar>
              <w:left w:w="108" w:type="dxa"/>
              <w:right w:w="108" w:type="dxa"/>
            </w:tcMar>
            <w:vAlign w:val="top"/>
          </w:tcPr>
          <w:p w14:paraId="1C32B6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6.2 优秀教材获奖</w:t>
            </w:r>
          </w:p>
        </w:tc>
        <w:tc>
          <w:tcPr>
            <w:tcW w:w="870" w:type="dxa"/>
            <w:tcBorders>
              <w:top w:val="nil"/>
              <w:left w:val="nil"/>
              <w:bottom w:val="single" w:color="000000" w:sz="8" w:space="0"/>
              <w:right w:val="single" w:color="000000" w:sz="8" w:space="0"/>
            </w:tcBorders>
            <w:shd w:val="clear" w:color="auto" w:fill="FFFFFF"/>
            <w:tcMar>
              <w:left w:w="108" w:type="dxa"/>
              <w:right w:w="108" w:type="dxa"/>
            </w:tcMar>
            <w:vAlign w:val="top"/>
          </w:tcPr>
          <w:p w14:paraId="222E7E6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主编</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53E48EA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当年新增优秀国家级教材特等奖加300分，一等奖加200分，二等奖加100分；当年新增优秀自治区级教材特等奖加100分，一等奖加50分，二等奖加30分。</w:t>
            </w:r>
          </w:p>
        </w:tc>
      </w:tr>
      <w:tr w14:paraId="056EC27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6CA252C2">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D9A4119">
            <w:pPr>
              <w:rPr>
                <w:rFonts w:hint="default" w:ascii="Arial" w:hAnsi="Arial" w:eastAsia="Arial" w:cs="Arial"/>
                <w:i w:val="0"/>
                <w:iCs w:val="0"/>
                <w:caps w:val="0"/>
                <w:color w:val="333333"/>
                <w:spacing w:val="0"/>
                <w:sz w:val="21"/>
                <w:szCs w:val="21"/>
              </w:rPr>
            </w:pPr>
          </w:p>
        </w:tc>
        <w:tc>
          <w:tcPr>
            <w:tcW w:w="1695" w:type="dxa"/>
            <w:vMerge w:val="continue"/>
            <w:tcBorders>
              <w:top w:val="nil"/>
              <w:left w:val="nil"/>
              <w:bottom w:val="single" w:color="000000" w:sz="8" w:space="0"/>
              <w:right w:val="single" w:color="000000" w:sz="8" w:space="0"/>
            </w:tcBorders>
            <w:shd w:val="clear" w:color="auto" w:fill="FFFFFF"/>
            <w:tcMar>
              <w:left w:w="108" w:type="dxa"/>
              <w:right w:w="108" w:type="dxa"/>
            </w:tcMar>
            <w:vAlign w:val="top"/>
          </w:tcPr>
          <w:p w14:paraId="71D40C6E">
            <w:pPr>
              <w:rPr>
                <w:rFonts w:hint="default" w:ascii="Arial" w:hAnsi="Arial" w:eastAsia="Arial" w:cs="Arial"/>
                <w:i w:val="0"/>
                <w:iCs w:val="0"/>
                <w:caps w:val="0"/>
                <w:color w:val="333333"/>
                <w:spacing w:val="0"/>
                <w:sz w:val="21"/>
                <w:szCs w:val="21"/>
              </w:rPr>
            </w:pPr>
          </w:p>
        </w:tc>
        <w:tc>
          <w:tcPr>
            <w:tcW w:w="870" w:type="dxa"/>
            <w:tcBorders>
              <w:top w:val="nil"/>
              <w:left w:val="nil"/>
              <w:bottom w:val="single" w:color="000000" w:sz="8" w:space="0"/>
              <w:right w:val="single" w:color="000000" w:sz="8" w:space="0"/>
            </w:tcBorders>
            <w:shd w:val="clear" w:color="auto" w:fill="FFFFFF"/>
            <w:tcMar>
              <w:left w:w="108" w:type="dxa"/>
              <w:right w:w="108" w:type="dxa"/>
            </w:tcMar>
            <w:vAlign w:val="top"/>
          </w:tcPr>
          <w:p w14:paraId="7085FE0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副主编</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2ED085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国家级教材特等奖加100分，一等奖加50分，二等奖加30分；自治区级教材特等奖加30分，一等奖加20分，二等奖加10分。</w:t>
            </w:r>
          </w:p>
        </w:tc>
      </w:tr>
      <w:tr w14:paraId="2CEA129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37E821EA">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8CEEA78">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4C12F6C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6.3 当年出版国家级规划教材</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7A397D6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主编单位加150分；主编加100分；副主编加50分。</w:t>
            </w:r>
          </w:p>
        </w:tc>
      </w:tr>
      <w:tr w14:paraId="0E346D8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7F39306C">
            <w:pPr>
              <w:rPr>
                <w:rFonts w:hint="default" w:ascii="Arial" w:hAnsi="Arial" w:eastAsia="Arial" w:cs="Arial"/>
                <w:i w:val="0"/>
                <w:iCs w:val="0"/>
                <w:caps w:val="0"/>
                <w:color w:val="333333"/>
                <w:spacing w:val="0"/>
                <w:sz w:val="21"/>
                <w:szCs w:val="21"/>
              </w:rPr>
            </w:pPr>
          </w:p>
        </w:tc>
        <w:tc>
          <w:tcPr>
            <w:tcW w:w="1380" w:type="dxa"/>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89833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7</w:t>
            </w:r>
          </w:p>
          <w:p w14:paraId="2C2AFC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教学奖励</w:t>
            </w:r>
          </w:p>
          <w:p w14:paraId="116636D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项目</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1A65987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7.1 教师教学竞赛获奖（包括青年教师教学技能大赛、高校教师教学创新大赛、课程思政大赛等）</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41D5EB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国家级特等奖加 300分，一等奖加100分，二等奖加50分，三等奖30分，优秀奖加20分；自治区级特等奖加 30分，一等奖加20分，二等奖加10分，三等奖5分，优秀奖加3分；校级特等奖加10分，一等奖加5分，二等奖加3分，三等奖2分，优秀奖加1分。</w:t>
            </w:r>
          </w:p>
        </w:tc>
      </w:tr>
      <w:tr w14:paraId="58DB1B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75"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1C6D1113">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6720B30">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4B58690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7.2 学生学科竞赛获奖</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3FA01A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国家级特等价加100分，一等奖加80分，二等奖加50分，三等奖加20分，优秀奖加10分；自治区级一等奖加20分，二等奖加10分，三等奖加5分，优秀奖加3分。</w:t>
            </w:r>
          </w:p>
        </w:tc>
      </w:tr>
      <w:tr w14:paraId="34051A0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2E1257C6">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4BCADAD">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5A8E79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7.3 校级优秀教学管理奖</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40496ED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优秀教学基层组织奖8分；优秀实习工作组织奖15分。</w:t>
            </w:r>
          </w:p>
        </w:tc>
      </w:tr>
      <w:tr w14:paraId="3365053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5649B0C0">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8A21CD6">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0B8678C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7.4 校级优秀教师、优秀教学管理奖。</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top"/>
          </w:tcPr>
          <w:p w14:paraId="4FFF6C0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最美人物奖20分；优秀教师奖10分；优秀教学管理奖10分。</w:t>
            </w:r>
          </w:p>
        </w:tc>
      </w:tr>
      <w:tr w14:paraId="4C3DE12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65" w:hRule="atLeast"/>
        </w:trPr>
        <w:tc>
          <w:tcPr>
            <w:tcW w:w="0" w:type="auto"/>
            <w:vMerge w:val="continue"/>
            <w:tcBorders>
              <w:top w:val="nil"/>
              <w:left w:val="double" w:color="000000" w:sz="6" w:space="0"/>
              <w:bottom w:val="single" w:color="000000" w:sz="8" w:space="0"/>
              <w:right w:val="single" w:color="000000" w:sz="8" w:space="0"/>
            </w:tcBorders>
            <w:shd w:val="clear" w:color="auto" w:fill="FFFFFF"/>
            <w:tcMar>
              <w:left w:w="108" w:type="dxa"/>
              <w:right w:w="108" w:type="dxa"/>
            </w:tcMar>
            <w:vAlign w:val="center"/>
          </w:tcPr>
          <w:p w14:paraId="028C9550">
            <w:pPr>
              <w:rPr>
                <w:rFonts w:hint="default" w:ascii="Arial" w:hAnsi="Arial" w:eastAsia="Arial" w:cs="Arial"/>
                <w:i w:val="0"/>
                <w:iCs w:val="0"/>
                <w:caps w:val="0"/>
                <w:color w:val="333333"/>
                <w:spacing w:val="0"/>
                <w:sz w:val="21"/>
                <w:szCs w:val="21"/>
              </w:rPr>
            </w:pPr>
          </w:p>
        </w:tc>
        <w:tc>
          <w:tcPr>
            <w:tcW w:w="1380"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4DDF2A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8其他项目</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top"/>
          </w:tcPr>
          <w:p w14:paraId="5A05BC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default" w:ascii="Arial" w:hAnsi="Arial" w:eastAsia="Arial" w:cs="Arial"/>
                <w:i w:val="0"/>
                <w:iCs w:val="0"/>
                <w:caps w:val="0"/>
                <w:color w:val="333333"/>
                <w:spacing w:val="0"/>
                <w:kern w:val="0"/>
                <w:sz w:val="24"/>
                <w:szCs w:val="24"/>
                <w:bdr w:val="none" w:color="auto" w:sz="0" w:space="0"/>
                <w:lang w:val="en-US" w:eastAsia="zh-CN" w:bidi="ar"/>
              </w:rPr>
              <w:t> </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7F676ED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其他在当年发生的各级各类奖项符合申报条件的，参照以上奖项类别进行奖励。</w:t>
            </w:r>
          </w:p>
        </w:tc>
      </w:tr>
      <w:tr w14:paraId="5F2B0B7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5" w:hRule="atLeast"/>
        </w:trPr>
        <w:tc>
          <w:tcPr>
            <w:tcW w:w="0" w:type="auto"/>
            <w:vMerge w:val="restart"/>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782EE9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减分</w:t>
            </w:r>
          </w:p>
          <w:p w14:paraId="43D3C1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项目</w:t>
            </w:r>
          </w:p>
        </w:tc>
        <w:tc>
          <w:tcPr>
            <w:tcW w:w="1380" w:type="dxa"/>
            <w:vMerge w:val="restart"/>
            <w:tcBorders>
              <w:top w:val="nil"/>
              <w:left w:val="nil"/>
              <w:bottom w:val="double" w:color="000000" w:sz="6" w:space="0"/>
              <w:right w:val="single" w:color="auto" w:sz="8" w:space="0"/>
            </w:tcBorders>
            <w:shd w:val="clear" w:color="auto" w:fill="FFFFFF"/>
            <w:tcMar>
              <w:left w:w="108" w:type="dxa"/>
              <w:right w:w="108" w:type="dxa"/>
            </w:tcMar>
            <w:vAlign w:val="center"/>
          </w:tcPr>
          <w:p w14:paraId="64E9DD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hint="eastAsia" w:ascii="宋体" w:hAnsi="宋体" w:eastAsia="宋体" w:cs="宋体"/>
                <w:i w:val="0"/>
                <w:iCs w:val="0"/>
                <w:caps w:val="0"/>
                <w:color w:val="333333"/>
                <w:spacing w:val="0"/>
                <w:kern w:val="0"/>
                <w:sz w:val="24"/>
                <w:szCs w:val="24"/>
                <w:bdr w:val="none" w:color="auto" w:sz="0" w:space="0"/>
                <w:lang w:val="en-US" w:eastAsia="zh-CN" w:bidi="ar"/>
              </w:rPr>
              <w:t>质量监控</w:t>
            </w: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08D8544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1.毕业论文（设计）质量</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3A2CC1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本科毕业论文管理系统中提交终稿后申请撤回，一人次扣5分；学生毕业论文查重率不合格一人次扣5分；学校组织的毕业论文抽检存在问题论文一人次扣5分；教育部组织的论文抽检存在问题论文一人次扣10分。</w:t>
            </w:r>
          </w:p>
        </w:tc>
      </w:tr>
      <w:tr w14:paraId="3615BFF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5"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6305C1C4">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double" w:color="000000" w:sz="6" w:space="0"/>
              <w:right w:val="single" w:color="auto" w:sz="8" w:space="0"/>
            </w:tcBorders>
            <w:shd w:val="clear" w:color="auto" w:fill="FFFFFF"/>
            <w:tcMar>
              <w:left w:w="108" w:type="dxa"/>
              <w:right w:w="108" w:type="dxa"/>
            </w:tcMar>
            <w:vAlign w:val="center"/>
          </w:tcPr>
          <w:p w14:paraId="02BD4C66">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2E5BBE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2.学生遵守考场纪律情况</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640C6F1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学生考场违纪一人次扣5分,作弊一人次扣10分；二级学院自行上报学生考试违纪行为不扣分。</w:t>
            </w:r>
          </w:p>
        </w:tc>
      </w:tr>
      <w:tr w14:paraId="49435FB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5"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302D99D6">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double" w:color="000000" w:sz="6" w:space="0"/>
              <w:right w:val="single" w:color="auto" w:sz="8" w:space="0"/>
            </w:tcBorders>
            <w:shd w:val="clear" w:color="auto" w:fill="FFFFFF"/>
            <w:tcMar>
              <w:left w:w="108" w:type="dxa"/>
              <w:right w:w="108" w:type="dxa"/>
            </w:tcMar>
            <w:vAlign w:val="center"/>
          </w:tcPr>
          <w:p w14:paraId="65A59A94">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7AB3ED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3.差错、教学事故发生次数</w:t>
            </w:r>
          </w:p>
        </w:tc>
        <w:tc>
          <w:tcPr>
            <w:tcW w:w="0" w:type="auto"/>
            <w:tcBorders>
              <w:top w:val="nil"/>
              <w:left w:val="nil"/>
              <w:bottom w:val="single" w:color="000000" w:sz="8" w:space="0"/>
              <w:right w:val="double" w:color="000000" w:sz="6" w:space="0"/>
            </w:tcBorders>
            <w:shd w:val="clear" w:color="auto" w:fill="FFFFFF"/>
            <w:tcMar>
              <w:left w:w="108" w:type="dxa"/>
              <w:right w:w="108" w:type="dxa"/>
            </w:tcMar>
            <w:vAlign w:val="center"/>
          </w:tcPr>
          <w:p w14:paraId="6D161CB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教学差错发生一次扣10分；发生三级、二级、一级教学事故，分别扣20、40、80分；在学校审核评估、专业认证等重要现场考察中发现较严重的教学差错和教学事故，根据造成的影响程度酌情加重扣分力度。</w:t>
            </w:r>
          </w:p>
        </w:tc>
      </w:tr>
      <w:tr w14:paraId="590105A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5" w:hRule="atLeast"/>
        </w:trPr>
        <w:tc>
          <w:tcPr>
            <w:tcW w:w="0" w:type="auto"/>
            <w:vMerge w:val="continue"/>
            <w:tcBorders>
              <w:top w:val="nil"/>
              <w:left w:val="double" w:color="000000" w:sz="6" w:space="0"/>
              <w:bottom w:val="double" w:color="000000" w:sz="6" w:space="0"/>
              <w:right w:val="single" w:color="000000" w:sz="8" w:space="0"/>
            </w:tcBorders>
            <w:shd w:val="clear" w:color="auto" w:fill="FFFFFF"/>
            <w:tcMar>
              <w:left w:w="108" w:type="dxa"/>
              <w:right w:w="108" w:type="dxa"/>
            </w:tcMar>
            <w:vAlign w:val="center"/>
          </w:tcPr>
          <w:p w14:paraId="2471F993">
            <w:pPr>
              <w:rPr>
                <w:rFonts w:hint="default" w:ascii="Arial" w:hAnsi="Arial" w:eastAsia="Arial" w:cs="Arial"/>
                <w:i w:val="0"/>
                <w:iCs w:val="0"/>
                <w:caps w:val="0"/>
                <w:color w:val="333333"/>
                <w:spacing w:val="0"/>
                <w:sz w:val="21"/>
                <w:szCs w:val="21"/>
              </w:rPr>
            </w:pPr>
          </w:p>
        </w:tc>
        <w:tc>
          <w:tcPr>
            <w:tcW w:w="1380" w:type="dxa"/>
            <w:vMerge w:val="continue"/>
            <w:tcBorders>
              <w:top w:val="nil"/>
              <w:left w:val="nil"/>
              <w:bottom w:val="double" w:color="000000" w:sz="6" w:space="0"/>
              <w:right w:val="single" w:color="auto" w:sz="8" w:space="0"/>
            </w:tcBorders>
            <w:shd w:val="clear" w:color="auto" w:fill="FFFFFF"/>
            <w:tcMar>
              <w:left w:w="108" w:type="dxa"/>
              <w:right w:w="108" w:type="dxa"/>
            </w:tcMar>
            <w:vAlign w:val="center"/>
          </w:tcPr>
          <w:p w14:paraId="3E48A600">
            <w:pPr>
              <w:rPr>
                <w:rFonts w:hint="default" w:ascii="Arial" w:hAnsi="Arial" w:eastAsia="Arial" w:cs="Arial"/>
                <w:i w:val="0"/>
                <w:iCs w:val="0"/>
                <w:caps w:val="0"/>
                <w:color w:val="333333"/>
                <w:spacing w:val="0"/>
                <w:sz w:val="21"/>
                <w:szCs w:val="21"/>
              </w:rPr>
            </w:pPr>
          </w:p>
        </w:tc>
        <w:tc>
          <w:tcPr>
            <w:tcW w:w="2565" w:type="dxa"/>
            <w:gridSpan w:val="2"/>
            <w:tcBorders>
              <w:top w:val="nil"/>
              <w:left w:val="nil"/>
              <w:bottom w:val="double" w:color="000000" w:sz="6" w:space="0"/>
              <w:right w:val="single" w:color="000000" w:sz="8" w:space="0"/>
            </w:tcBorders>
            <w:shd w:val="clear" w:color="auto" w:fill="FFFFFF"/>
            <w:tcMar>
              <w:left w:w="108" w:type="dxa"/>
              <w:right w:w="108" w:type="dxa"/>
            </w:tcMar>
            <w:vAlign w:val="top"/>
          </w:tcPr>
          <w:p w14:paraId="7DD85C0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4.其他</w:t>
            </w:r>
          </w:p>
        </w:tc>
        <w:tc>
          <w:tcPr>
            <w:tcW w:w="0" w:type="auto"/>
            <w:tcBorders>
              <w:top w:val="nil"/>
              <w:left w:val="nil"/>
              <w:bottom w:val="double" w:color="000000" w:sz="6" w:space="0"/>
              <w:right w:val="double" w:color="000000" w:sz="6" w:space="0"/>
            </w:tcBorders>
            <w:shd w:val="clear" w:color="auto" w:fill="FFFFFF"/>
            <w:tcMar>
              <w:left w:w="108" w:type="dxa"/>
              <w:right w:w="108" w:type="dxa"/>
            </w:tcMar>
            <w:vAlign w:val="top"/>
          </w:tcPr>
          <w:p w14:paraId="21ABD0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left"/>
            </w:pPr>
            <w:r>
              <w:rPr>
                <w:rFonts w:hint="eastAsia" w:ascii="宋体" w:hAnsi="宋体" w:eastAsia="宋体" w:cs="宋体"/>
                <w:i w:val="0"/>
                <w:iCs w:val="0"/>
                <w:caps w:val="0"/>
                <w:color w:val="333333"/>
                <w:spacing w:val="0"/>
                <w:kern w:val="0"/>
                <w:sz w:val="24"/>
                <w:szCs w:val="24"/>
                <w:bdr w:val="none" w:color="auto" w:sz="0" w:space="0"/>
                <w:lang w:val="en-US" w:eastAsia="zh-CN" w:bidi="ar"/>
              </w:rPr>
              <w:t>其他在当年发生的各级各类违纪行为，参照以上类别进行处罚。</w:t>
            </w:r>
          </w:p>
        </w:tc>
      </w:tr>
    </w:tbl>
    <w:p w14:paraId="3F5481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56" w:afterAutospacing="0" w:line="400" w:lineRule="atLeast"/>
        <w:ind w:left="0" w:right="0" w:firstLine="0"/>
        <w:jc w:val="left"/>
        <w:rPr>
          <w:rFonts w:hint="default" w:ascii="Arial" w:hAnsi="Arial" w:eastAsia="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shd w:val="clear" w:fill="FFFFFF"/>
          <w:lang w:val="en-US" w:eastAsia="zh-CN" w:bidi="ar"/>
        </w:rPr>
        <w:t>注：将各院部考核学年各种奖项及加分项所得分数以10%折合计入总分，加（减）分项得分不封顶。</w:t>
      </w:r>
    </w:p>
    <w:p w14:paraId="7F4786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132529F7"/>
    <w:rsid w:val="13252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2024-10-27T23:59:00Z</dcterms:created>
  <dc:creator>孙会艳</dc:creator>
  <cp:lastModifiedBy>孙会艳</cp:lastModifiedBy>
  <dcterms:modified xsi:type="dcterms:W3CDTF">2024-10-27T23:59:25Z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0611DF365F41405B912401615A3830F1_11</vt:lpwstr>
  </property>
</Properties>
</file>