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A5719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jc w:val="center"/>
        <w:rPr>
          <w:rFonts w:ascii="Arial" w:hAnsi="Arial" w:eastAsia="Arial" w:cs="Arial"/>
          <w:i w:val="0"/>
          <w:iCs w:val="0"/>
          <w:caps w:val="0"/>
          <w:color w:val="333333"/>
          <w:spacing w:val="0"/>
          <w:sz w:val="21"/>
          <w:szCs w:val="21"/>
        </w:rPr>
      </w:pPr>
      <w:r>
        <w:rPr>
          <w:rFonts w:ascii="仿宋" w:hAnsi="仿宋" w:eastAsia="仿宋" w:cs="仿宋"/>
          <w:i w:val="0"/>
          <w:iCs w:val="0"/>
          <w:caps w:val="0"/>
          <w:color w:val="333333"/>
          <w:spacing w:val="0"/>
          <w:kern w:val="0"/>
          <w:sz w:val="32"/>
          <w:szCs w:val="32"/>
          <w:bdr w:val="none" w:color="auto" w:sz="0" w:space="0"/>
          <w:shd w:val="clear" w:fill="FFFFFF"/>
          <w:lang w:val="en-US" w:eastAsia="zh-CN" w:bidi="ar"/>
        </w:rPr>
        <w:t>赤院院字〔</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2024〕180号</w:t>
      </w:r>
    </w:p>
    <w:p w14:paraId="1BAA10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jc w:val="center"/>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sz w:val="21"/>
          <w:szCs w:val="21"/>
          <w:bdr w:val="none" w:color="auto" w:sz="0" w:space="0"/>
          <w:shd w:val="clear" w:fill="FFFFFF"/>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2685006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40" w:lineRule="atLeast"/>
        <w:ind w:left="0" w:right="0"/>
        <w:jc w:val="center"/>
      </w:pPr>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关于印发《</w:t>
      </w:r>
      <w:bookmarkStart w:id="0" w:name="_GoBack"/>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赤峰学院教师课堂教学质量评价办法（修订）</w:t>
      </w:r>
      <w:bookmarkEnd w:id="0"/>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》的通知</w:t>
      </w:r>
    </w:p>
    <w:p w14:paraId="57F3AA9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2B65F51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各单位：</w:t>
      </w:r>
    </w:p>
    <w:p w14:paraId="3E4BE44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《赤峰学院教师课堂教学质量评价办法（修订）》经学校研究通过，现印发给你们，请遵照执行。</w:t>
      </w:r>
    </w:p>
    <w:p w14:paraId="14FEF4F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53254C5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赤 峰 学 院</w:t>
      </w:r>
    </w:p>
    <w:p w14:paraId="40F4C26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2024年10月25日</w:t>
      </w:r>
    </w:p>
    <w:p w14:paraId="43FF4D6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w:t>
      </w:r>
    </w:p>
    <w:p w14:paraId="6F9BBC6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7743DF1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2C5DCA5A">
      <w:pPr>
        <w:keepNext w:val="0"/>
        <w:keepLines w:val="0"/>
        <w:widowControl/>
        <w:suppressLineNumbers w:val="0"/>
        <w:pBdr>
          <w:top w:val="none" w:color="auto" w:sz="0" w:space="0"/>
          <w:left w:val="none" w:color="auto" w:sz="0" w:space="0"/>
          <w:bottom w:val="none" w:color="auto" w:sz="0" w:space="0"/>
          <w:right w:val="none" w:color="auto" w:sz="0" w:space="0"/>
        </w:pBdr>
        <w:spacing w:before="468" w:beforeAutospacing="0" w:after="156" w:afterAutospacing="0" w:line="560" w:lineRule="atLeast"/>
        <w:ind w:left="0" w:right="0"/>
        <w:jc w:val="center"/>
      </w:pPr>
      <w:r>
        <w:rPr>
          <w:rFonts w:hint="default"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赤峰学院教师课堂教学质量评价办法（修订）</w:t>
      </w:r>
    </w:p>
    <w:p w14:paraId="35CB015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4BC6854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为深入贯彻落实习近平新时代中国特色社会主义思想，全面贯彻党的教育方针，坚持社会主义办学方向，落实立德树人根本任务，发挥课堂教学主阵地和主渠道作用，进一步加强教学管理，准确评价教师教学质量，引导教师积极投入教学工作，不断提高教师的教学水平，客观评价教师的教学工作，充分调动教师教学改革和教书育人的积极性，提高人才培养质量，修订本办法。</w:t>
      </w:r>
    </w:p>
    <w:p w14:paraId="66D8BB0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评价的目的和意义</w:t>
      </w:r>
    </w:p>
    <w:p w14:paraId="10C401E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课堂教学质量评价是对教师的教学质量进行客观评价，是促进教师研究教学内容、改进教学方法、提高教学质量的重要手段。施行教师课堂教学质量评估是对教师教学质量进行检测与监督的必要环节，是构成整个教学过程监控的重要组成部分。通过教师课堂教学质量的评价，可以进一步规范教学过程，加强教学管理，定量评价教学状况，促进教学质量的不断提高，为教师业务考核、晋升、聘任、评优、评先等提供依据。</w:t>
      </w:r>
    </w:p>
    <w:p w14:paraId="15A08C3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评价的原则</w:t>
      </w:r>
    </w:p>
    <w:p w14:paraId="3948B92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教师课堂教学质量评价过程中要遵循教育教学规律，坚持客观公正，实事求是的原则，定性与定量相结合的原则，全面综合评价的原则，以提高评价的准确性和可信度。</w:t>
      </w:r>
    </w:p>
    <w:p w14:paraId="0619FDE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评价对象及范围</w:t>
      </w:r>
    </w:p>
    <w:p w14:paraId="0EF958C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评价对象为我校担任理论和实践教学任务的所有在职教师。评价范围包括所有全日制本专科课程，包括理论课、实验课，不包括实习、实训和毕业设计（论文）等环节。</w:t>
      </w:r>
    </w:p>
    <w:p w14:paraId="09360C5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第四条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评价的组织与实施</w:t>
      </w:r>
    </w:p>
    <w:p w14:paraId="6FD9543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1．学校教学指导委员会，负责教师课堂教学评价的统筹工作。教师课堂教学质量评价的组织、协调工作由教学指导委员会办公室教务处负责。</w:t>
      </w:r>
    </w:p>
    <w:p w14:paraId="348DCCA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 各二级学院应成立课堂教学质量评价领导小组，负责组织、协调、落实评价工作，并指定专人操作，以保证评价结果的客观、公正、合理。</w:t>
      </w:r>
    </w:p>
    <w:p w14:paraId="18B32BC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第五条 评价的方法</w:t>
      </w:r>
    </w:p>
    <w:p w14:paraId="329A8F3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教师课堂教学质量评价计算公式Z=40%A+30%B+20%C+10%D, 其中Z 为最终得分，A为学生评价分、B为督导评价分、C为同行评价分、D 为教学纪律评价分。</w:t>
      </w:r>
    </w:p>
    <w:p w14:paraId="186C8B5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（一）学生评价</w:t>
      </w:r>
    </w:p>
    <w:p w14:paraId="1F7CC44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学期末由学校统一组织学生对教师课堂教学质量进行评价，课程参评率低于60%不计成绩，该项得分按当前学期平均评价分数计分。评价内容重点对教学过程实施以及教学效果进行评价（评价指标见附件1）。</w:t>
      </w:r>
    </w:p>
    <w:p w14:paraId="54D9C0A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（二）督导评价</w:t>
      </w:r>
    </w:p>
    <w:p w14:paraId="13FA295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学校校级教育教学督导组负责组织督导员对评价学期的听课教师进行评价。</w:t>
      </w:r>
    </w:p>
    <w:p w14:paraId="0FAC778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各二级学院院级教育教学督导组负责组织督导员对本学院所有任课教师进行评价。要求各学期末对本学院开课教师评价实现全覆盖，且每位任课教师的每门课程被评价次数在2人次以上。评价要结合教学资料（教学计划、总结、过程性考核批阅、试卷评阅、成绩单以及达成度分析等）的检查，对任课教师课堂教学听课情况做出综合评价（评价指标见附件2）。</w:t>
      </w:r>
    </w:p>
    <w:p w14:paraId="4A8053D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（三）同行评价</w:t>
      </w:r>
    </w:p>
    <w:p w14:paraId="42B4787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各学院负责组织本单位教师按照《赤峰学院听课制度》规定相互听课。要求学期内听课覆盖本学院所有开课教师，并于各学期末对本学院开课教师评价实现全覆盖。互评范围要求在同一基层教学组织内，且每位任课教师的每门课程被评价次数在2人次以上。评价内容重点对教学内容和教学方法、效果进行评价（评价指标见附件3），回避评价本人。</w:t>
      </w:r>
    </w:p>
    <w:p w14:paraId="0E9E6B0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（四）教学纪律评价</w:t>
      </w:r>
    </w:p>
    <w:p w14:paraId="0C886F2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各学院负责对教师遵守教学纪律情况给予评价，对于出现违反教学纪律情况，视情节轻重扣除1-4分。对于出现二级教学事故及以下（含二级教学事故）的教师，应从总分中扣除5-10分（四级教学事故扣除5分、三级教学事故扣除8分、二级教学事故扣除10分），若出现一级教学事故，则本次教学质量总体评价为不合格。</w:t>
      </w:r>
    </w:p>
    <w:p w14:paraId="1EBAEEC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第六条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评价结果及使用</w:t>
      </w:r>
    </w:p>
    <w:p w14:paraId="7C85CD6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1．根据教师教学质量评价得分，可由各二级学院将教学质量划分为四个等级，即优秀、良好、合格、不合格。获教学质量优秀的得分不低于85分，其中优秀率不超过20%；得分60分以下的为教学质量不合格。</w:t>
      </w:r>
    </w:p>
    <w:p w14:paraId="3250C4A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2．评价结果由教务处汇总分析后，在校园网上进行公示，核准后的结果将作为教师考核、晋升职称和评奖等的重要依据。</w:t>
      </w:r>
    </w:p>
    <w:p w14:paraId="6B78D84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3．教师教学质量评价每学期进行一次，被评为课堂教学质量优秀的教师，学校将根据相关文件进行表彰奖励。</w:t>
      </w:r>
    </w:p>
    <w:p w14:paraId="653071B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4．对于教学质量不合格的教师，要限期整改。连续2次不合格的教师，不能继续承担教学任务。</w:t>
      </w:r>
    </w:p>
    <w:p w14:paraId="4F3E024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第七条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评价原则</w:t>
      </w:r>
    </w:p>
    <w:p w14:paraId="25F4904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为了保证评估结果的科学性、统一性和可比性，原则上全校应统一评价指标体系。各教学单位可根据本单位的教学实际制定评价实施细则，少数教学单位（如体育、艺术等）也可结合本单位的特点修订指标体系。修订后的评价指标体系，必须经教务处认定后方可使用。</w:t>
      </w:r>
    </w:p>
    <w:p w14:paraId="314101D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第八条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本管理办法授权教务处负责解释，本管理办法自发布之日起施行，原《赤峰学院教师课堂教学质量评价办法（修订）》（赤院院字〔2018〕153号）同时废止。</w:t>
      </w:r>
    </w:p>
    <w:p w14:paraId="46490E6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73621CD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附件：1.教师教学质量评价标准表（学生评价）</w:t>
      </w:r>
    </w:p>
    <w:p w14:paraId="215E0F0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160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2.教师教学质量评价标准表（督导评价）</w:t>
      </w:r>
    </w:p>
    <w:p w14:paraId="7A770EA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160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3.教师教学质量评价标准表（同行评价）</w:t>
      </w:r>
    </w:p>
    <w:p w14:paraId="45C329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sz w:val="21"/>
          <w:szCs w:val="21"/>
          <w:bdr w:val="none" w:color="auto" w:sz="0" w:space="0"/>
          <w:shd w:val="clear" w:fill="FFFFFF"/>
        </w:rPr>
        <w:t> </w:t>
      </w:r>
    </w:p>
    <w:p w14:paraId="607D017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jc w:val="center"/>
        <w:rPr>
          <w:rFonts w:hint="default" w:ascii="Arial" w:hAnsi="Arial" w:eastAsia="Arial" w:cs="Arial"/>
          <w:i w:val="0"/>
          <w:iCs w:val="0"/>
          <w:caps w:val="0"/>
          <w:color w:val="333333"/>
          <w:spacing w:val="0"/>
          <w:sz w:val="21"/>
          <w:szCs w:val="21"/>
        </w:rPr>
      </w:pPr>
      <w:r>
        <w:rPr>
          <w:rFonts w:ascii="黑体" w:hAnsi="宋体" w:eastAsia="黑体" w:cs="黑体"/>
          <w:b/>
          <w:bCs/>
          <w:i w:val="0"/>
          <w:iCs w:val="0"/>
          <w:caps w:val="0"/>
          <w:color w:val="000000"/>
          <w:spacing w:val="0"/>
          <w:kern w:val="0"/>
          <w:sz w:val="32"/>
          <w:szCs w:val="32"/>
          <w:bdr w:val="none" w:color="auto" w:sz="0" w:space="0"/>
          <w:shd w:val="clear" w:fill="FFFFFF"/>
          <w:lang w:val="en-US" w:eastAsia="zh-CN" w:bidi="ar"/>
        </w:rPr>
        <w:t>附件</w:t>
      </w:r>
      <w:r>
        <w:rPr>
          <w:rFonts w:hint="eastAsia" w:ascii="黑体" w:hAnsi="宋体" w:eastAsia="黑体" w:cs="黑体"/>
          <w:b/>
          <w:bCs/>
          <w:i w:val="0"/>
          <w:iCs w:val="0"/>
          <w:caps w:val="0"/>
          <w:color w:val="000000"/>
          <w:spacing w:val="0"/>
          <w:kern w:val="0"/>
          <w:sz w:val="32"/>
          <w:szCs w:val="32"/>
          <w:bdr w:val="none" w:color="auto" w:sz="0" w:space="0"/>
          <w:shd w:val="clear" w:fill="FFFFFF"/>
          <w:lang w:val="en-US" w:eastAsia="zh-CN" w:bidi="ar"/>
        </w:rPr>
        <w:t>1：教师课堂教学质量评价标准表（学生评价）</w:t>
      </w:r>
    </w:p>
    <w:p w14:paraId="4795FE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400" w:lineRule="atLeast"/>
        <w:ind w:left="0" w:right="0" w:firstLine="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请在选项格内打√</w:t>
      </w:r>
    </w:p>
    <w:tbl>
      <w:tblPr>
        <w:tblW w:w="5050" w:type="pct"/>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602"/>
        <w:gridCol w:w="430"/>
        <w:gridCol w:w="3443"/>
        <w:gridCol w:w="516"/>
        <w:gridCol w:w="516"/>
        <w:gridCol w:w="516"/>
        <w:gridCol w:w="516"/>
        <w:gridCol w:w="516"/>
        <w:gridCol w:w="776"/>
        <w:gridCol w:w="776"/>
      </w:tblGrid>
      <w:tr w14:paraId="5F0B272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360" w:hRule="atLeast"/>
          <w:jc w:val="center"/>
        </w:trPr>
        <w:tc>
          <w:tcPr>
            <w:tcW w:w="350" w:type="pct"/>
            <w:vMerge w:val="restart"/>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14:paraId="6D9E9D4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评估</w:t>
            </w:r>
          </w:p>
          <w:p w14:paraId="65BF4D2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项目</w:t>
            </w:r>
          </w:p>
        </w:tc>
        <w:tc>
          <w:tcPr>
            <w:tcW w:w="250" w:type="pct"/>
            <w:vMerge w:val="restart"/>
            <w:tcBorders>
              <w:top w:val="single" w:color="auto" w:sz="8" w:space="0"/>
              <w:left w:val="nil"/>
              <w:bottom w:val="single" w:color="auto" w:sz="8" w:space="0"/>
              <w:right w:val="single" w:color="auto" w:sz="8" w:space="0"/>
            </w:tcBorders>
            <w:shd w:val="clear"/>
            <w:tcMar>
              <w:left w:w="108" w:type="dxa"/>
              <w:right w:w="108" w:type="dxa"/>
            </w:tcMar>
            <w:vAlign w:val="center"/>
          </w:tcPr>
          <w:p w14:paraId="7248DED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分数</w:t>
            </w:r>
          </w:p>
          <w:p w14:paraId="36D9A75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分配</w:t>
            </w:r>
          </w:p>
        </w:tc>
        <w:tc>
          <w:tcPr>
            <w:tcW w:w="1950" w:type="pct"/>
            <w:vMerge w:val="restart"/>
            <w:tcBorders>
              <w:top w:val="single" w:color="auto" w:sz="8" w:space="0"/>
              <w:left w:val="nil"/>
              <w:bottom w:val="single" w:color="auto" w:sz="8" w:space="0"/>
              <w:right w:val="single" w:color="auto" w:sz="8" w:space="0"/>
            </w:tcBorders>
            <w:shd w:val="clear"/>
            <w:tcMar>
              <w:left w:w="108" w:type="dxa"/>
              <w:right w:w="108" w:type="dxa"/>
            </w:tcMar>
            <w:vAlign w:val="center"/>
          </w:tcPr>
          <w:p w14:paraId="782191E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评估指标</w:t>
            </w:r>
          </w:p>
        </w:tc>
        <w:tc>
          <w:tcPr>
            <w:tcW w:w="300" w:type="pct"/>
            <w:vMerge w:val="restart"/>
            <w:tcBorders>
              <w:top w:val="single" w:color="auto" w:sz="8" w:space="0"/>
              <w:left w:val="nil"/>
              <w:bottom w:val="single" w:color="auto" w:sz="8" w:space="0"/>
              <w:right w:val="single" w:color="auto" w:sz="8" w:space="0"/>
            </w:tcBorders>
            <w:shd w:val="clear"/>
            <w:tcMar>
              <w:left w:w="108" w:type="dxa"/>
              <w:right w:w="108" w:type="dxa"/>
            </w:tcMar>
            <w:vAlign w:val="center"/>
          </w:tcPr>
          <w:p w14:paraId="2362D09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权重</w:t>
            </w:r>
          </w:p>
          <w:p w14:paraId="64525A1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系数</w:t>
            </w:r>
          </w:p>
        </w:tc>
        <w:tc>
          <w:tcPr>
            <w:tcW w:w="1650" w:type="pct"/>
            <w:gridSpan w:val="5"/>
            <w:tcBorders>
              <w:top w:val="single" w:color="auto" w:sz="8" w:space="0"/>
              <w:left w:val="nil"/>
              <w:bottom w:val="single" w:color="auto" w:sz="8" w:space="0"/>
              <w:right w:val="single" w:color="auto" w:sz="8" w:space="0"/>
            </w:tcBorders>
            <w:shd w:val="clear"/>
            <w:tcMar>
              <w:left w:w="108" w:type="dxa"/>
              <w:right w:w="108" w:type="dxa"/>
            </w:tcMar>
            <w:vAlign w:val="center"/>
          </w:tcPr>
          <w:p w14:paraId="58BBB12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各项等级及分值</w:t>
            </w:r>
          </w:p>
        </w:tc>
        <w:tc>
          <w:tcPr>
            <w:tcW w:w="350" w:type="pct"/>
            <w:vMerge w:val="restart"/>
            <w:tcBorders>
              <w:top w:val="single" w:color="auto" w:sz="8" w:space="0"/>
              <w:left w:val="nil"/>
              <w:bottom w:val="single" w:color="auto" w:sz="8" w:space="0"/>
              <w:right w:val="single" w:color="auto" w:sz="8" w:space="0"/>
            </w:tcBorders>
            <w:shd w:val="clear"/>
            <w:tcMar>
              <w:left w:w="108" w:type="dxa"/>
              <w:right w:w="108" w:type="dxa"/>
            </w:tcMar>
            <w:vAlign w:val="center"/>
          </w:tcPr>
          <w:p w14:paraId="61BE025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得分</w:t>
            </w:r>
          </w:p>
        </w:tc>
      </w:tr>
      <w:tr w14:paraId="4606ADE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80" w:hRule="atLeast"/>
          <w:jc w:val="center"/>
        </w:trPr>
        <w:tc>
          <w:tcPr>
            <w:tcW w:w="350" w:type="pct"/>
            <w:vMerge w:val="continue"/>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14:paraId="52647832">
            <w:pPr>
              <w:rPr>
                <w:rFonts w:hint="default" w:ascii="Arial" w:hAnsi="Arial" w:eastAsia="Arial" w:cs="Arial"/>
                <w:sz w:val="21"/>
                <w:szCs w:val="21"/>
              </w:rPr>
            </w:pPr>
          </w:p>
        </w:tc>
        <w:tc>
          <w:tcPr>
            <w:tcW w:w="25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30BF3FB4">
            <w:pPr>
              <w:rPr>
                <w:rFonts w:hint="default" w:ascii="Arial" w:hAnsi="Arial" w:eastAsia="Arial" w:cs="Arial"/>
                <w:sz w:val="21"/>
                <w:szCs w:val="21"/>
              </w:rPr>
            </w:pPr>
          </w:p>
        </w:tc>
        <w:tc>
          <w:tcPr>
            <w:tcW w:w="195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736D85B8">
            <w:pPr>
              <w:rPr>
                <w:rFonts w:hint="default" w:ascii="Arial" w:hAnsi="Arial" w:eastAsia="Arial" w:cs="Arial"/>
                <w:sz w:val="21"/>
                <w:szCs w:val="21"/>
              </w:rPr>
            </w:pPr>
          </w:p>
        </w:tc>
        <w:tc>
          <w:tcPr>
            <w:tcW w:w="30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2683B892">
            <w:pPr>
              <w:rPr>
                <w:rFonts w:hint="default" w:ascii="Arial" w:hAnsi="Arial" w:eastAsia="Arial" w:cs="Arial"/>
                <w:sz w:val="21"/>
                <w:szCs w:val="21"/>
              </w:rPr>
            </w:pP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39031E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A</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EBF2CE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B</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3CEC35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C</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5C168B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D</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2E94BB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E</w:t>
            </w:r>
          </w:p>
        </w:tc>
        <w:tc>
          <w:tcPr>
            <w:tcW w:w="35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112EC64F">
            <w:pPr>
              <w:rPr>
                <w:rFonts w:hint="default" w:ascii="Arial" w:hAnsi="Arial" w:eastAsia="Arial" w:cs="Arial"/>
                <w:sz w:val="21"/>
                <w:szCs w:val="21"/>
              </w:rPr>
            </w:pPr>
          </w:p>
        </w:tc>
      </w:tr>
      <w:tr w14:paraId="18C8EF9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35" w:hRule="atLeast"/>
          <w:jc w:val="center"/>
        </w:trPr>
        <w:tc>
          <w:tcPr>
            <w:tcW w:w="350" w:type="pct"/>
            <w:vMerge w:val="continue"/>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14:paraId="723137E2">
            <w:pPr>
              <w:rPr>
                <w:rFonts w:hint="default" w:ascii="Arial" w:hAnsi="Arial" w:eastAsia="Arial" w:cs="Arial"/>
                <w:sz w:val="21"/>
                <w:szCs w:val="21"/>
              </w:rPr>
            </w:pPr>
          </w:p>
        </w:tc>
        <w:tc>
          <w:tcPr>
            <w:tcW w:w="25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7739BD3E">
            <w:pPr>
              <w:rPr>
                <w:rFonts w:hint="default" w:ascii="Arial" w:hAnsi="Arial" w:eastAsia="Arial" w:cs="Arial"/>
                <w:sz w:val="21"/>
                <w:szCs w:val="21"/>
              </w:rPr>
            </w:pPr>
          </w:p>
        </w:tc>
        <w:tc>
          <w:tcPr>
            <w:tcW w:w="195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310F6369">
            <w:pPr>
              <w:rPr>
                <w:rFonts w:hint="default" w:ascii="Arial" w:hAnsi="Arial" w:eastAsia="Arial" w:cs="Arial"/>
                <w:sz w:val="21"/>
                <w:szCs w:val="21"/>
              </w:rPr>
            </w:pPr>
          </w:p>
        </w:tc>
        <w:tc>
          <w:tcPr>
            <w:tcW w:w="30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6DD5DAE4">
            <w:pPr>
              <w:rPr>
                <w:rFonts w:hint="default" w:ascii="Arial" w:hAnsi="Arial" w:eastAsia="Arial" w:cs="Arial"/>
                <w:sz w:val="21"/>
                <w:szCs w:val="21"/>
              </w:rPr>
            </w:pP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6EBBD6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FCBD6A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8</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366EB2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6</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93F076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4</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30A731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2</w:t>
            </w:r>
          </w:p>
        </w:tc>
        <w:tc>
          <w:tcPr>
            <w:tcW w:w="35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11BCFF03">
            <w:pPr>
              <w:rPr>
                <w:rFonts w:hint="default" w:ascii="Arial" w:hAnsi="Arial" w:eastAsia="Arial" w:cs="Arial"/>
                <w:sz w:val="21"/>
                <w:szCs w:val="21"/>
              </w:rPr>
            </w:pPr>
          </w:p>
        </w:tc>
      </w:tr>
      <w:tr w14:paraId="2664304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20" w:hRule="atLeast"/>
          <w:jc w:val="center"/>
        </w:trPr>
        <w:tc>
          <w:tcPr>
            <w:tcW w:w="350" w:type="pct"/>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2EDF9F8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教学</w:t>
            </w:r>
          </w:p>
          <w:p w14:paraId="7093B2C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态度</w:t>
            </w:r>
          </w:p>
        </w:tc>
        <w:tc>
          <w:tcPr>
            <w:tcW w:w="250" w:type="pct"/>
            <w:vMerge w:val="restart"/>
            <w:tcBorders>
              <w:top w:val="nil"/>
              <w:left w:val="nil"/>
              <w:bottom w:val="single" w:color="auto" w:sz="8" w:space="0"/>
              <w:right w:val="single" w:color="auto" w:sz="8" w:space="0"/>
            </w:tcBorders>
            <w:shd w:val="clear"/>
            <w:tcMar>
              <w:left w:w="108" w:type="dxa"/>
              <w:right w:w="108" w:type="dxa"/>
            </w:tcMar>
            <w:vAlign w:val="center"/>
          </w:tcPr>
          <w:p w14:paraId="6580698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20</w:t>
            </w: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37E4178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教学态度端正，全面贯彻党的教育方针，坚持社会主义办学方向，落实立德树人根本任务</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C985C6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05C1DA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E43E34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77AD3C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2FD440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CF8D74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46FAE63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392BE84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5"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64FCDDE4">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4507B739">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7359A42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治学严谨，为人师表，不随意调停课，关心并严格要求学生</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AF34A0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C1DA85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951D42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AD4B30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AC829F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F57DA8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2212B11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3DA87EF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55"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5D96AEF5">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438270F4">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10C8B66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依据课程性质、特点适量布置作业，批改作业认真，及时、耐心辅导答疑</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72DB22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5DD5E8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9E5C67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BE481B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C36872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A86C19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33704C0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71AD728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95" w:hRule="atLeast"/>
          <w:jc w:val="center"/>
        </w:trPr>
        <w:tc>
          <w:tcPr>
            <w:tcW w:w="350" w:type="pct"/>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3480481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教学准备</w:t>
            </w:r>
          </w:p>
        </w:tc>
        <w:tc>
          <w:tcPr>
            <w:tcW w:w="250" w:type="pct"/>
            <w:vMerge w:val="restart"/>
            <w:tcBorders>
              <w:top w:val="nil"/>
              <w:left w:val="nil"/>
              <w:bottom w:val="single" w:color="auto" w:sz="8" w:space="0"/>
              <w:right w:val="single" w:color="auto" w:sz="8" w:space="0"/>
            </w:tcBorders>
            <w:shd w:val="clear"/>
            <w:tcMar>
              <w:left w:w="108" w:type="dxa"/>
              <w:right w:w="108" w:type="dxa"/>
            </w:tcMar>
            <w:vAlign w:val="center"/>
          </w:tcPr>
          <w:p w14:paraId="6C0DB10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6FB1DA1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教材、教辅选用适当，备课充分</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D5F86C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73F66B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750077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5758FE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71532B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F3560D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74B993C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60502A1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40"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32785BBD">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486B8837">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3CDC7DE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精心准备教学大纲、教案、PPT等教学材料</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6AF611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894650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A50E34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6E6A3E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549AB9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BC0FF4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5EBEC78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066C412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5" w:hRule="atLeast"/>
          <w:jc w:val="center"/>
        </w:trPr>
        <w:tc>
          <w:tcPr>
            <w:tcW w:w="350" w:type="pct"/>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4DD7960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教学</w:t>
            </w:r>
          </w:p>
          <w:p w14:paraId="5E95903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内容</w:t>
            </w:r>
          </w:p>
        </w:tc>
        <w:tc>
          <w:tcPr>
            <w:tcW w:w="250" w:type="pct"/>
            <w:vMerge w:val="restart"/>
            <w:tcBorders>
              <w:top w:val="nil"/>
              <w:left w:val="nil"/>
              <w:bottom w:val="single" w:color="auto" w:sz="8" w:space="0"/>
              <w:right w:val="single" w:color="auto" w:sz="8" w:space="0"/>
            </w:tcBorders>
            <w:shd w:val="clear"/>
            <w:tcMar>
              <w:left w:w="108" w:type="dxa"/>
              <w:right w:w="108" w:type="dxa"/>
            </w:tcMar>
            <w:vAlign w:val="center"/>
          </w:tcPr>
          <w:p w14:paraId="7E540E4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20</w:t>
            </w: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145E685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符合教学大纲的基本要求，突出重点，解决难点，深度、广度适宜</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BC8A14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B43C97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9EDC4C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388AB8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32E062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633CC5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051B220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3644C7A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5"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3A5711F4">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0864B303">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442D700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理论结合实际，信息量适当，能及时反映本学科前沿的发展动态</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F06465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9FD592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0D2A22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2AF4B5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55801F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28BE3C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1008757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1FFBD59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10" w:hRule="atLeast"/>
          <w:jc w:val="center"/>
        </w:trPr>
        <w:tc>
          <w:tcPr>
            <w:tcW w:w="350" w:type="pct"/>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4EB140E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教学</w:t>
            </w:r>
          </w:p>
          <w:p w14:paraId="462D3BD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实施</w:t>
            </w:r>
          </w:p>
        </w:tc>
        <w:tc>
          <w:tcPr>
            <w:tcW w:w="250" w:type="pct"/>
            <w:vMerge w:val="restart"/>
            <w:tcBorders>
              <w:top w:val="nil"/>
              <w:left w:val="nil"/>
              <w:bottom w:val="single" w:color="auto" w:sz="8" w:space="0"/>
              <w:right w:val="single" w:color="auto" w:sz="8" w:space="0"/>
            </w:tcBorders>
            <w:shd w:val="clear"/>
            <w:tcMar>
              <w:left w:w="108" w:type="dxa"/>
              <w:right w:w="108" w:type="dxa"/>
            </w:tcMar>
            <w:vAlign w:val="center"/>
          </w:tcPr>
          <w:p w14:paraId="3C06230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30</w:t>
            </w: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486A20E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以学生为中心，因材施教，教学方法灵活多样，激发学生学习兴趣</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749686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75CCD3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7CD06B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55F983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C5D5A2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2F619F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7773ED5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737984E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10"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5F4ED7D2">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49E5E18D">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23EFAA0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教学融入课程思政内容，逻辑性强，举例恰当，能够发挥课程育人功能</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51B2B2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BE385D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EB0AB8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38BE08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7E38B9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50098C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59B948E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0DF5385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10"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6268D84B">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07AF6860">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5386809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了解学生学情、学习意愿、教学满意度，及时调整、持续改进教学</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EC0D79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34454D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C50526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9C9786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FA86EC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194A39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2802B2E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5D0AAF4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55"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2B0ED9AE">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34491BAD">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6319DE0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能够将信息技术手段有效融入课堂教学，有独特的教学风格和艺术</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B61BB3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977A1D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95A76A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F00206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E4BFDE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FEF127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7682B61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1D8008A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40"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3071E5EF">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486F90CD">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7465221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注重启发式教学，引导学生思考、创新，重视实践能力培养</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3D9462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73BE2A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8FA0A9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FC2D8D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7F4DD3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13E88E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138C754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09A476F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00"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6423DFA8">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532DE80E">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32B0773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使用国家通用语言文字，讲授熟练，语言清晰，板书工整</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2634AE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D570E6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537561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6EE1C6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4CB75F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4497FA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0AAE059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1D19E18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40" w:hRule="atLeast"/>
          <w:jc w:val="center"/>
        </w:trPr>
        <w:tc>
          <w:tcPr>
            <w:tcW w:w="350" w:type="pct"/>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0CE1368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教学</w:t>
            </w:r>
          </w:p>
          <w:p w14:paraId="4A2F4A1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效果</w:t>
            </w:r>
          </w:p>
        </w:tc>
        <w:tc>
          <w:tcPr>
            <w:tcW w:w="250" w:type="pct"/>
            <w:vMerge w:val="restart"/>
            <w:tcBorders>
              <w:top w:val="nil"/>
              <w:left w:val="nil"/>
              <w:bottom w:val="single" w:color="auto" w:sz="8" w:space="0"/>
              <w:right w:val="single" w:color="auto" w:sz="8" w:space="0"/>
            </w:tcBorders>
            <w:shd w:val="clear"/>
            <w:tcMar>
              <w:left w:w="108" w:type="dxa"/>
              <w:right w:w="108" w:type="dxa"/>
            </w:tcMar>
            <w:vAlign w:val="center"/>
          </w:tcPr>
          <w:p w14:paraId="7B85B72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20</w:t>
            </w: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477EEBC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学生学习本课程的积极性高，并能较好地接受和掌握所讲知识</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D1F08D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7FA6EA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46D430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8990DF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D5D41D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3A1D56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60EB6D0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6467804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40"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31690B12">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038A929D">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3E2D884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学生获得优良治学风气的教育，相关能力得到提升</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074AA8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2E40B0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14B234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D8ADE4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1983A3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E712CC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39659FE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35CBD4C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90" w:hRule="atLeast"/>
          <w:jc w:val="center"/>
        </w:trPr>
        <w:tc>
          <w:tcPr>
            <w:tcW w:w="350" w:type="pct"/>
            <w:tcBorders>
              <w:top w:val="nil"/>
              <w:left w:val="single" w:color="auto" w:sz="8" w:space="0"/>
              <w:bottom w:val="single" w:color="auto" w:sz="8" w:space="0"/>
              <w:right w:val="single" w:color="auto" w:sz="8" w:space="0"/>
            </w:tcBorders>
            <w:shd w:val="clear"/>
            <w:tcMar>
              <w:left w:w="108" w:type="dxa"/>
              <w:right w:w="108" w:type="dxa"/>
            </w:tcMar>
            <w:vAlign w:val="center"/>
          </w:tcPr>
          <w:p w14:paraId="53E55ED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其他意见和建议</w:t>
            </w:r>
          </w:p>
        </w:tc>
        <w:tc>
          <w:tcPr>
            <w:tcW w:w="4600" w:type="pct"/>
            <w:gridSpan w:val="9"/>
            <w:tcBorders>
              <w:top w:val="nil"/>
              <w:left w:val="nil"/>
              <w:bottom w:val="single" w:color="auto" w:sz="8" w:space="0"/>
              <w:right w:val="single" w:color="auto" w:sz="8" w:space="0"/>
            </w:tcBorders>
            <w:shd w:val="clear"/>
            <w:tcMar>
              <w:left w:w="108" w:type="dxa"/>
              <w:right w:w="108" w:type="dxa"/>
            </w:tcMar>
            <w:vAlign w:val="center"/>
          </w:tcPr>
          <w:p w14:paraId="6265640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1F39ACE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5" w:hRule="atLeast"/>
          <w:jc w:val="center"/>
        </w:trPr>
        <w:tc>
          <w:tcPr>
            <w:tcW w:w="2600" w:type="pct"/>
            <w:gridSpan w:val="3"/>
            <w:tcBorders>
              <w:top w:val="nil"/>
              <w:left w:val="single" w:color="auto" w:sz="8" w:space="0"/>
              <w:bottom w:val="single" w:color="auto" w:sz="8" w:space="0"/>
              <w:right w:val="single" w:color="auto" w:sz="8" w:space="0"/>
            </w:tcBorders>
            <w:shd w:val="clear"/>
            <w:tcMar>
              <w:left w:w="108" w:type="dxa"/>
              <w:right w:w="108" w:type="dxa"/>
            </w:tcMar>
            <w:vAlign w:val="center"/>
          </w:tcPr>
          <w:p w14:paraId="7C95453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评估总得分</w:t>
            </w:r>
          </w:p>
          <w:p w14:paraId="614964A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（等于各项等级分值与权重系数的乘积之和）</w:t>
            </w:r>
          </w:p>
        </w:tc>
        <w:tc>
          <w:tcPr>
            <w:tcW w:w="2350" w:type="pct"/>
            <w:gridSpan w:val="7"/>
            <w:tcBorders>
              <w:top w:val="nil"/>
              <w:left w:val="nil"/>
              <w:bottom w:val="single" w:color="auto" w:sz="8" w:space="0"/>
              <w:right w:val="single" w:color="auto" w:sz="8" w:space="0"/>
            </w:tcBorders>
            <w:shd w:val="clear"/>
            <w:tcMar>
              <w:left w:w="108" w:type="dxa"/>
              <w:right w:w="108" w:type="dxa"/>
            </w:tcMar>
            <w:vAlign w:val="center"/>
          </w:tcPr>
          <w:p w14:paraId="6B1B97E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bl>
    <w:p w14:paraId="637572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sz w:val="21"/>
          <w:szCs w:val="21"/>
          <w:bdr w:val="none" w:color="auto" w:sz="0" w:space="0"/>
          <w:shd w:val="clear" w:fill="FFFFFF"/>
        </w:rPr>
        <w:t> </w:t>
      </w:r>
    </w:p>
    <w:p w14:paraId="2A1848B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ind w:left="0" w:right="0" w:firstLine="0"/>
        <w:jc w:val="center"/>
        <w:rPr>
          <w:rFonts w:hint="default" w:ascii="Arial" w:hAnsi="Arial" w:eastAsia="Arial" w:cs="Arial"/>
          <w:i w:val="0"/>
          <w:iCs w:val="0"/>
          <w:caps w:val="0"/>
          <w:color w:val="333333"/>
          <w:spacing w:val="0"/>
          <w:sz w:val="21"/>
          <w:szCs w:val="21"/>
        </w:rPr>
      </w:pPr>
      <w:r>
        <w:rPr>
          <w:rFonts w:hint="eastAsia" w:ascii="黑体" w:hAnsi="宋体" w:eastAsia="黑体" w:cs="黑体"/>
          <w:b/>
          <w:bCs/>
          <w:i w:val="0"/>
          <w:iCs w:val="0"/>
          <w:caps w:val="0"/>
          <w:color w:val="000000"/>
          <w:spacing w:val="0"/>
          <w:kern w:val="0"/>
          <w:sz w:val="32"/>
          <w:szCs w:val="32"/>
          <w:bdr w:val="none" w:color="auto" w:sz="0" w:space="0"/>
          <w:shd w:val="clear" w:fill="FFFFFF"/>
          <w:lang w:val="en-US" w:eastAsia="zh-CN" w:bidi="ar"/>
        </w:rPr>
        <w:t>附件2：教师课堂教学质量评价标准表（督导评价）</w:t>
      </w:r>
    </w:p>
    <w:p w14:paraId="5B7090E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400" w:lineRule="atLeast"/>
        <w:ind w:left="0" w:right="0" w:firstLine="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请在选项格内打√</w:t>
      </w:r>
    </w:p>
    <w:tbl>
      <w:tblPr>
        <w:tblW w:w="5050" w:type="pct"/>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602"/>
        <w:gridCol w:w="430"/>
        <w:gridCol w:w="3443"/>
        <w:gridCol w:w="516"/>
        <w:gridCol w:w="516"/>
        <w:gridCol w:w="516"/>
        <w:gridCol w:w="516"/>
        <w:gridCol w:w="516"/>
        <w:gridCol w:w="776"/>
        <w:gridCol w:w="776"/>
      </w:tblGrid>
      <w:tr w14:paraId="5E1C953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360" w:hRule="atLeast"/>
          <w:jc w:val="center"/>
        </w:trPr>
        <w:tc>
          <w:tcPr>
            <w:tcW w:w="350" w:type="pct"/>
            <w:vMerge w:val="restart"/>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14:paraId="1E6E33B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20" w:lineRule="atLeast"/>
              <w:ind w:left="0" w:right="0"/>
              <w:jc w:val="center"/>
            </w:pPr>
            <w:r>
              <w:rPr>
                <w:rFonts w:hint="eastAsia" w:ascii="仿宋" w:hAnsi="仿宋" w:eastAsia="仿宋" w:cs="仿宋"/>
                <w:color w:val="000000"/>
                <w:kern w:val="0"/>
                <w:sz w:val="20"/>
                <w:szCs w:val="20"/>
                <w:bdr w:val="none" w:color="auto" w:sz="0" w:space="0"/>
                <w:lang w:val="en-US" w:eastAsia="zh-CN" w:bidi="ar"/>
              </w:rPr>
              <w:t>评估</w:t>
            </w:r>
          </w:p>
          <w:p w14:paraId="7D33976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20" w:lineRule="atLeast"/>
              <w:ind w:left="0" w:right="0"/>
              <w:jc w:val="center"/>
            </w:pPr>
            <w:r>
              <w:rPr>
                <w:rFonts w:hint="eastAsia" w:ascii="仿宋" w:hAnsi="仿宋" w:eastAsia="仿宋" w:cs="仿宋"/>
                <w:color w:val="000000"/>
                <w:kern w:val="0"/>
                <w:sz w:val="20"/>
                <w:szCs w:val="20"/>
                <w:bdr w:val="none" w:color="auto" w:sz="0" w:space="0"/>
                <w:lang w:val="en-US" w:eastAsia="zh-CN" w:bidi="ar"/>
              </w:rPr>
              <w:t>项目</w:t>
            </w:r>
          </w:p>
        </w:tc>
        <w:tc>
          <w:tcPr>
            <w:tcW w:w="250" w:type="pct"/>
            <w:vMerge w:val="restart"/>
            <w:tcBorders>
              <w:top w:val="single" w:color="auto" w:sz="8" w:space="0"/>
              <w:left w:val="nil"/>
              <w:bottom w:val="single" w:color="auto" w:sz="8" w:space="0"/>
              <w:right w:val="single" w:color="auto" w:sz="8" w:space="0"/>
            </w:tcBorders>
            <w:shd w:val="clear"/>
            <w:tcMar>
              <w:left w:w="108" w:type="dxa"/>
              <w:right w:w="108" w:type="dxa"/>
            </w:tcMar>
            <w:vAlign w:val="center"/>
          </w:tcPr>
          <w:p w14:paraId="6B1BB58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20" w:lineRule="atLeast"/>
              <w:ind w:left="0" w:right="0"/>
              <w:jc w:val="center"/>
            </w:pPr>
            <w:r>
              <w:rPr>
                <w:rFonts w:hint="eastAsia" w:ascii="仿宋" w:hAnsi="仿宋" w:eastAsia="仿宋" w:cs="仿宋"/>
                <w:color w:val="000000"/>
                <w:kern w:val="0"/>
                <w:sz w:val="20"/>
                <w:szCs w:val="20"/>
                <w:bdr w:val="none" w:color="auto" w:sz="0" w:space="0"/>
                <w:lang w:val="en-US" w:eastAsia="zh-CN" w:bidi="ar"/>
              </w:rPr>
              <w:t>分数</w:t>
            </w:r>
          </w:p>
          <w:p w14:paraId="36CA0F6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20" w:lineRule="atLeast"/>
              <w:ind w:left="0" w:right="0"/>
              <w:jc w:val="center"/>
            </w:pPr>
            <w:r>
              <w:rPr>
                <w:rFonts w:hint="eastAsia" w:ascii="仿宋" w:hAnsi="仿宋" w:eastAsia="仿宋" w:cs="仿宋"/>
                <w:color w:val="000000"/>
                <w:kern w:val="0"/>
                <w:sz w:val="20"/>
                <w:szCs w:val="20"/>
                <w:bdr w:val="none" w:color="auto" w:sz="0" w:space="0"/>
                <w:lang w:val="en-US" w:eastAsia="zh-CN" w:bidi="ar"/>
              </w:rPr>
              <w:t>分配</w:t>
            </w:r>
          </w:p>
        </w:tc>
        <w:tc>
          <w:tcPr>
            <w:tcW w:w="1950" w:type="pct"/>
            <w:vMerge w:val="restart"/>
            <w:tcBorders>
              <w:top w:val="single" w:color="auto" w:sz="8" w:space="0"/>
              <w:left w:val="nil"/>
              <w:bottom w:val="single" w:color="auto" w:sz="8" w:space="0"/>
              <w:right w:val="single" w:color="auto" w:sz="8" w:space="0"/>
            </w:tcBorders>
            <w:shd w:val="clear"/>
            <w:tcMar>
              <w:left w:w="108" w:type="dxa"/>
              <w:right w:w="108" w:type="dxa"/>
            </w:tcMar>
            <w:vAlign w:val="center"/>
          </w:tcPr>
          <w:p w14:paraId="15A3580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20" w:lineRule="atLeast"/>
              <w:ind w:left="0" w:right="0"/>
              <w:jc w:val="center"/>
            </w:pPr>
            <w:r>
              <w:rPr>
                <w:rFonts w:hint="eastAsia" w:ascii="仿宋" w:hAnsi="仿宋" w:eastAsia="仿宋" w:cs="仿宋"/>
                <w:color w:val="000000"/>
                <w:kern w:val="0"/>
                <w:sz w:val="20"/>
                <w:szCs w:val="20"/>
                <w:bdr w:val="none" w:color="auto" w:sz="0" w:space="0"/>
                <w:lang w:val="en-US" w:eastAsia="zh-CN" w:bidi="ar"/>
              </w:rPr>
              <w:t>评估指标</w:t>
            </w:r>
          </w:p>
        </w:tc>
        <w:tc>
          <w:tcPr>
            <w:tcW w:w="300" w:type="pct"/>
            <w:vMerge w:val="restart"/>
            <w:tcBorders>
              <w:top w:val="single" w:color="auto" w:sz="8" w:space="0"/>
              <w:left w:val="nil"/>
              <w:bottom w:val="single" w:color="auto" w:sz="8" w:space="0"/>
              <w:right w:val="single" w:color="auto" w:sz="8" w:space="0"/>
            </w:tcBorders>
            <w:shd w:val="clear"/>
            <w:tcMar>
              <w:left w:w="108" w:type="dxa"/>
              <w:right w:w="108" w:type="dxa"/>
            </w:tcMar>
            <w:vAlign w:val="center"/>
          </w:tcPr>
          <w:p w14:paraId="46C7C9C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20" w:lineRule="atLeast"/>
              <w:ind w:left="0" w:right="0"/>
              <w:jc w:val="center"/>
            </w:pPr>
            <w:r>
              <w:rPr>
                <w:rFonts w:hint="eastAsia" w:ascii="仿宋" w:hAnsi="仿宋" w:eastAsia="仿宋" w:cs="仿宋"/>
                <w:color w:val="000000"/>
                <w:kern w:val="0"/>
                <w:sz w:val="20"/>
                <w:szCs w:val="20"/>
                <w:bdr w:val="none" w:color="auto" w:sz="0" w:space="0"/>
                <w:lang w:val="en-US" w:eastAsia="zh-CN" w:bidi="ar"/>
              </w:rPr>
              <w:t>权重</w:t>
            </w:r>
          </w:p>
          <w:p w14:paraId="48E64C8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20" w:lineRule="atLeast"/>
              <w:ind w:left="0" w:right="0"/>
              <w:jc w:val="center"/>
            </w:pPr>
            <w:r>
              <w:rPr>
                <w:rFonts w:hint="eastAsia" w:ascii="仿宋" w:hAnsi="仿宋" w:eastAsia="仿宋" w:cs="仿宋"/>
                <w:color w:val="000000"/>
                <w:kern w:val="0"/>
                <w:sz w:val="20"/>
                <w:szCs w:val="20"/>
                <w:bdr w:val="none" w:color="auto" w:sz="0" w:space="0"/>
                <w:lang w:val="en-US" w:eastAsia="zh-CN" w:bidi="ar"/>
              </w:rPr>
              <w:t>系数</w:t>
            </w:r>
          </w:p>
        </w:tc>
        <w:tc>
          <w:tcPr>
            <w:tcW w:w="1650" w:type="pct"/>
            <w:gridSpan w:val="5"/>
            <w:tcBorders>
              <w:top w:val="single" w:color="auto" w:sz="8" w:space="0"/>
              <w:left w:val="nil"/>
              <w:bottom w:val="single" w:color="auto" w:sz="8" w:space="0"/>
              <w:right w:val="single" w:color="auto" w:sz="8" w:space="0"/>
            </w:tcBorders>
            <w:shd w:val="clear"/>
            <w:tcMar>
              <w:left w:w="108" w:type="dxa"/>
              <w:right w:w="108" w:type="dxa"/>
            </w:tcMar>
            <w:vAlign w:val="center"/>
          </w:tcPr>
          <w:p w14:paraId="368F3A3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各项等级及分值</w:t>
            </w:r>
          </w:p>
        </w:tc>
        <w:tc>
          <w:tcPr>
            <w:tcW w:w="350" w:type="pct"/>
            <w:vMerge w:val="restart"/>
            <w:tcBorders>
              <w:top w:val="single" w:color="auto" w:sz="8" w:space="0"/>
              <w:left w:val="nil"/>
              <w:bottom w:val="single" w:color="auto" w:sz="8" w:space="0"/>
              <w:right w:val="single" w:color="auto" w:sz="8" w:space="0"/>
            </w:tcBorders>
            <w:shd w:val="clear"/>
            <w:tcMar>
              <w:left w:w="108" w:type="dxa"/>
              <w:right w:w="108" w:type="dxa"/>
            </w:tcMar>
            <w:vAlign w:val="center"/>
          </w:tcPr>
          <w:p w14:paraId="1A3B594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得分</w:t>
            </w:r>
          </w:p>
        </w:tc>
      </w:tr>
      <w:tr w14:paraId="3188AE6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1" w:hRule="atLeast"/>
          <w:jc w:val="center"/>
        </w:trPr>
        <w:tc>
          <w:tcPr>
            <w:tcW w:w="350" w:type="pct"/>
            <w:vMerge w:val="continue"/>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14:paraId="43A8007D">
            <w:pPr>
              <w:rPr>
                <w:rFonts w:hint="default" w:ascii="Arial" w:hAnsi="Arial" w:eastAsia="Arial" w:cs="Arial"/>
                <w:sz w:val="21"/>
                <w:szCs w:val="21"/>
              </w:rPr>
            </w:pPr>
          </w:p>
        </w:tc>
        <w:tc>
          <w:tcPr>
            <w:tcW w:w="25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2E1256CD">
            <w:pPr>
              <w:rPr>
                <w:rFonts w:hint="default" w:ascii="Arial" w:hAnsi="Arial" w:eastAsia="Arial" w:cs="Arial"/>
                <w:sz w:val="21"/>
                <w:szCs w:val="21"/>
              </w:rPr>
            </w:pPr>
          </w:p>
        </w:tc>
        <w:tc>
          <w:tcPr>
            <w:tcW w:w="195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43B2DAE3">
            <w:pPr>
              <w:rPr>
                <w:rFonts w:hint="default" w:ascii="Arial" w:hAnsi="Arial" w:eastAsia="Arial" w:cs="Arial"/>
                <w:sz w:val="21"/>
                <w:szCs w:val="21"/>
              </w:rPr>
            </w:pPr>
          </w:p>
        </w:tc>
        <w:tc>
          <w:tcPr>
            <w:tcW w:w="30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610F7B37">
            <w:pPr>
              <w:rPr>
                <w:rFonts w:hint="default" w:ascii="Arial" w:hAnsi="Arial" w:eastAsia="Arial" w:cs="Arial"/>
                <w:sz w:val="21"/>
                <w:szCs w:val="21"/>
              </w:rPr>
            </w:pP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BCDB51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A</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A28E41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B</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5E077E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C</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012584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D</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43650B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E</w:t>
            </w:r>
          </w:p>
        </w:tc>
        <w:tc>
          <w:tcPr>
            <w:tcW w:w="35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76DB479B">
            <w:pPr>
              <w:rPr>
                <w:rFonts w:hint="default" w:ascii="Arial" w:hAnsi="Arial" w:eastAsia="Arial" w:cs="Arial"/>
                <w:sz w:val="21"/>
                <w:szCs w:val="21"/>
              </w:rPr>
            </w:pPr>
          </w:p>
        </w:tc>
      </w:tr>
      <w:tr w14:paraId="231806D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05" w:hRule="atLeast"/>
          <w:jc w:val="center"/>
        </w:trPr>
        <w:tc>
          <w:tcPr>
            <w:tcW w:w="350" w:type="pct"/>
            <w:vMerge w:val="continue"/>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14:paraId="6713C1E3">
            <w:pPr>
              <w:rPr>
                <w:rFonts w:hint="default" w:ascii="Arial" w:hAnsi="Arial" w:eastAsia="Arial" w:cs="Arial"/>
                <w:sz w:val="21"/>
                <w:szCs w:val="21"/>
              </w:rPr>
            </w:pPr>
          </w:p>
        </w:tc>
        <w:tc>
          <w:tcPr>
            <w:tcW w:w="25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5869A76B">
            <w:pPr>
              <w:rPr>
                <w:rFonts w:hint="default" w:ascii="Arial" w:hAnsi="Arial" w:eastAsia="Arial" w:cs="Arial"/>
                <w:sz w:val="21"/>
                <w:szCs w:val="21"/>
              </w:rPr>
            </w:pPr>
          </w:p>
        </w:tc>
        <w:tc>
          <w:tcPr>
            <w:tcW w:w="195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50938BD2">
            <w:pPr>
              <w:rPr>
                <w:rFonts w:hint="default" w:ascii="Arial" w:hAnsi="Arial" w:eastAsia="Arial" w:cs="Arial"/>
                <w:sz w:val="21"/>
                <w:szCs w:val="21"/>
              </w:rPr>
            </w:pPr>
          </w:p>
        </w:tc>
        <w:tc>
          <w:tcPr>
            <w:tcW w:w="30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5759A851">
            <w:pPr>
              <w:rPr>
                <w:rFonts w:hint="default" w:ascii="Arial" w:hAnsi="Arial" w:eastAsia="Arial" w:cs="Arial"/>
                <w:sz w:val="21"/>
                <w:szCs w:val="21"/>
              </w:rPr>
            </w:pP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40BFA9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B2380A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8</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1CD17C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6</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E417A6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4</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05AFBB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2</w:t>
            </w:r>
          </w:p>
        </w:tc>
        <w:tc>
          <w:tcPr>
            <w:tcW w:w="35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597993C1">
            <w:pPr>
              <w:rPr>
                <w:rFonts w:hint="default" w:ascii="Arial" w:hAnsi="Arial" w:eastAsia="Arial" w:cs="Arial"/>
                <w:sz w:val="21"/>
                <w:szCs w:val="21"/>
              </w:rPr>
            </w:pPr>
          </w:p>
        </w:tc>
      </w:tr>
      <w:tr w14:paraId="6D700F5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90" w:hRule="atLeast"/>
          <w:jc w:val="center"/>
        </w:trPr>
        <w:tc>
          <w:tcPr>
            <w:tcW w:w="350" w:type="pct"/>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6AB41B5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教学</w:t>
            </w:r>
          </w:p>
          <w:p w14:paraId="74E2F08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态度</w:t>
            </w:r>
          </w:p>
        </w:tc>
        <w:tc>
          <w:tcPr>
            <w:tcW w:w="250" w:type="pct"/>
            <w:vMerge w:val="restart"/>
            <w:tcBorders>
              <w:top w:val="nil"/>
              <w:left w:val="nil"/>
              <w:bottom w:val="single" w:color="auto" w:sz="8" w:space="0"/>
              <w:right w:val="single" w:color="auto" w:sz="8" w:space="0"/>
            </w:tcBorders>
            <w:shd w:val="clear"/>
            <w:tcMar>
              <w:left w:w="108" w:type="dxa"/>
              <w:right w:w="108" w:type="dxa"/>
            </w:tcMar>
            <w:vAlign w:val="center"/>
          </w:tcPr>
          <w:p w14:paraId="1D4CD78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20</w:t>
            </w: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01CE4B2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教学态度端正，全面贯彻党的教育方针，坚持社会主义办学方向，落实立德树人根本任务</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6A9A9A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92725C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33658E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1B2F95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3A7677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8899DB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5E644C2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3F3A1D3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55"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510A864A">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51B4A81B">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1C50D9A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教学准备充分，授课充满热情，作业批改认真，耐心辅导答疑，评价客观公正</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72E49A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5C23F1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3A4557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355BC1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ABB617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14B1C4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12A2FCA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3DAD567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5" w:hRule="atLeast"/>
          <w:jc w:val="center"/>
        </w:trPr>
        <w:tc>
          <w:tcPr>
            <w:tcW w:w="350" w:type="pct"/>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75B31CA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教学</w:t>
            </w:r>
          </w:p>
          <w:p w14:paraId="065FBCC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内容</w:t>
            </w:r>
          </w:p>
        </w:tc>
        <w:tc>
          <w:tcPr>
            <w:tcW w:w="250" w:type="pct"/>
            <w:vMerge w:val="restart"/>
            <w:tcBorders>
              <w:top w:val="nil"/>
              <w:left w:val="nil"/>
              <w:bottom w:val="single" w:color="auto" w:sz="8" w:space="0"/>
              <w:right w:val="single" w:color="auto" w:sz="8" w:space="0"/>
            </w:tcBorders>
            <w:shd w:val="clear"/>
            <w:tcMar>
              <w:left w:w="108" w:type="dxa"/>
              <w:right w:w="108" w:type="dxa"/>
            </w:tcMar>
            <w:vAlign w:val="center"/>
          </w:tcPr>
          <w:p w14:paraId="59C7E11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30</w:t>
            </w: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5AA322B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符合教学大纲的基本要求，突出重点，解决难点，深度、广度适宜</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D0A321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294318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B7DC78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96BF88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0FF4BF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5DF15F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09F624B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673D8F5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5"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5D037081">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669EBBAB">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6B879EC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内容理论结合实际，信息量适当，能及时反映本学科的发展动态，具有前沿性和时代性</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E8639A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488D44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252D5D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7B65D9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7EA1D8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9F42B8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19FF950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73B889D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5"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3891EB95">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27A1FABB">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33A9A2E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教学融入课程思政内容，逻辑性强，举例恰当，能够发挥课程育人功能</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28DD93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D9AA7F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DD76A9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0384BC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7EB6AE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914C28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02AE6E4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2226A91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10" w:hRule="atLeast"/>
          <w:jc w:val="center"/>
        </w:trPr>
        <w:tc>
          <w:tcPr>
            <w:tcW w:w="350" w:type="pct"/>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25EF1B3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教学</w:t>
            </w:r>
          </w:p>
          <w:p w14:paraId="740F390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方法</w:t>
            </w:r>
          </w:p>
        </w:tc>
        <w:tc>
          <w:tcPr>
            <w:tcW w:w="250" w:type="pct"/>
            <w:vMerge w:val="restart"/>
            <w:tcBorders>
              <w:top w:val="nil"/>
              <w:left w:val="nil"/>
              <w:bottom w:val="single" w:color="auto" w:sz="8" w:space="0"/>
              <w:right w:val="single" w:color="auto" w:sz="8" w:space="0"/>
            </w:tcBorders>
            <w:shd w:val="clear"/>
            <w:tcMar>
              <w:left w:w="108" w:type="dxa"/>
              <w:right w:w="108" w:type="dxa"/>
            </w:tcMar>
            <w:vAlign w:val="center"/>
          </w:tcPr>
          <w:p w14:paraId="253C8E8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20</w:t>
            </w: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1B2CDB6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以学生为中心，因材施教，教学方法灵活多样，激发学生学习兴趣</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6B5503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62F712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6D8EC3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18D8EF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65C578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C40A59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3A0CCED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68B2AAF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75"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4DEEFFC7">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65430F9D">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1D4744D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能够将信息技术手段有效融入课堂教学，探索实施网络化、数字化、智能化、个性化教育，具有独特的教学风格和艺术</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5C42E4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942657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ED50D5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8918F1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19230A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F2E8CB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0407367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613ACC0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40"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1516CE7E">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4C73D83C">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0FE6031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注重启发式教学，引导学生思考、创新，重视实践能力培养</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C94BEA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1A0FE3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E543AE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03F021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0D668D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48256A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5BB581A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3218E73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40"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1C8C57D5">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79540769">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6AB370C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能够运用案例式、合作式、参与式教学，充分发挥学生的主动性</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D786F0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C03F68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B2C450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550AAB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30A651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168D2B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553D241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3D2DAF3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40" w:hRule="atLeast"/>
          <w:jc w:val="center"/>
        </w:trPr>
        <w:tc>
          <w:tcPr>
            <w:tcW w:w="350" w:type="pct"/>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67606A9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教学材料</w:t>
            </w:r>
          </w:p>
        </w:tc>
        <w:tc>
          <w:tcPr>
            <w:tcW w:w="250" w:type="pct"/>
            <w:vMerge w:val="restart"/>
            <w:tcBorders>
              <w:top w:val="nil"/>
              <w:left w:val="nil"/>
              <w:bottom w:val="single" w:color="auto" w:sz="8" w:space="0"/>
              <w:right w:val="single" w:color="auto" w:sz="8" w:space="0"/>
            </w:tcBorders>
            <w:shd w:val="clear"/>
            <w:tcMar>
              <w:left w:w="108" w:type="dxa"/>
              <w:right w:w="108" w:type="dxa"/>
            </w:tcMar>
            <w:vAlign w:val="center"/>
          </w:tcPr>
          <w:p w14:paraId="6209568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4FA5876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教学大纲、教案、PPT等教学材料规范</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8AC425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675CBA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A01FC9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572191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0EE7F9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C5C346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4365870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64B80D3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50"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01EB86E3">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2F54051B">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3550AA6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教学计划、总结、过程性考核材料批阅、试卷评阅、成绩单及达成度分析等教学材料齐全并符合标准</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B01BBB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893BBE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55D378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CE2655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973756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884F18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68C28ED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3AC007F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00" w:hRule="atLeast"/>
          <w:jc w:val="center"/>
        </w:trPr>
        <w:tc>
          <w:tcPr>
            <w:tcW w:w="350" w:type="pct"/>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782B51F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教学</w:t>
            </w:r>
          </w:p>
          <w:p w14:paraId="0177620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能力</w:t>
            </w:r>
          </w:p>
        </w:tc>
        <w:tc>
          <w:tcPr>
            <w:tcW w:w="250" w:type="pct"/>
            <w:vMerge w:val="restart"/>
            <w:tcBorders>
              <w:top w:val="nil"/>
              <w:left w:val="nil"/>
              <w:bottom w:val="single" w:color="auto" w:sz="8" w:space="0"/>
              <w:right w:val="single" w:color="auto" w:sz="8" w:space="0"/>
            </w:tcBorders>
            <w:shd w:val="clear"/>
            <w:tcMar>
              <w:left w:w="108" w:type="dxa"/>
              <w:right w:w="108" w:type="dxa"/>
            </w:tcMar>
            <w:vAlign w:val="center"/>
          </w:tcPr>
          <w:p w14:paraId="46A04F0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20</w:t>
            </w: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76C24B8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使用国家通用语言文字，讲授熟练，语言清晰，板书工整</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C608C7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5BC00B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CF6E9D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D4678A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5D47B1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38ED88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6A2E9DA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2205526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15"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48EA0F91">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0328DF5D">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2F94C15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了解学生学情、学习意愿、教学满意度，及时调整、持续改进教学</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7BBB94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7EDC20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939A31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F59D8B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3A6992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0EDB13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34FCFC9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26C6D18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25"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07BA4AA7">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0FEAE07E">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27E0501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课程体现两性一度（高阶性、创新性、挑战度），课堂教学质量较高</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D9796A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39FCA5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46D378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BF72B2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C673E0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001D4F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195338C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65E92DF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60" w:hRule="atLeast"/>
          <w:jc w:val="center"/>
        </w:trPr>
        <w:tc>
          <w:tcPr>
            <w:tcW w:w="350" w:type="pct"/>
            <w:tcBorders>
              <w:top w:val="nil"/>
              <w:left w:val="single" w:color="auto" w:sz="8" w:space="0"/>
              <w:bottom w:val="single" w:color="auto" w:sz="8" w:space="0"/>
              <w:right w:val="single" w:color="auto" w:sz="8" w:space="0"/>
            </w:tcBorders>
            <w:shd w:val="clear"/>
            <w:tcMar>
              <w:left w:w="108" w:type="dxa"/>
              <w:right w:w="108" w:type="dxa"/>
            </w:tcMar>
            <w:vAlign w:val="center"/>
          </w:tcPr>
          <w:p w14:paraId="2FDAFBD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其他意见和建议</w:t>
            </w:r>
          </w:p>
        </w:tc>
        <w:tc>
          <w:tcPr>
            <w:tcW w:w="4600" w:type="pct"/>
            <w:gridSpan w:val="9"/>
            <w:tcBorders>
              <w:top w:val="nil"/>
              <w:left w:val="nil"/>
              <w:bottom w:val="single" w:color="auto" w:sz="8" w:space="0"/>
              <w:right w:val="single" w:color="auto" w:sz="8" w:space="0"/>
            </w:tcBorders>
            <w:shd w:val="clear"/>
            <w:tcMar>
              <w:left w:w="108" w:type="dxa"/>
              <w:right w:w="108" w:type="dxa"/>
            </w:tcMar>
            <w:vAlign w:val="center"/>
          </w:tcPr>
          <w:p w14:paraId="1F33D76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3DCEE03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5" w:hRule="atLeast"/>
          <w:jc w:val="center"/>
        </w:trPr>
        <w:tc>
          <w:tcPr>
            <w:tcW w:w="2600" w:type="pct"/>
            <w:gridSpan w:val="3"/>
            <w:tcBorders>
              <w:top w:val="nil"/>
              <w:left w:val="single" w:color="auto" w:sz="8" w:space="0"/>
              <w:bottom w:val="single" w:color="auto" w:sz="8" w:space="0"/>
              <w:right w:val="single" w:color="auto" w:sz="8" w:space="0"/>
            </w:tcBorders>
            <w:shd w:val="clear"/>
            <w:tcMar>
              <w:left w:w="108" w:type="dxa"/>
              <w:right w:w="108" w:type="dxa"/>
            </w:tcMar>
            <w:vAlign w:val="center"/>
          </w:tcPr>
          <w:p w14:paraId="614A148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评估总得分</w:t>
            </w:r>
          </w:p>
          <w:p w14:paraId="7D527CB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（等于各项等级分值与权重系数的乘积之和）</w:t>
            </w:r>
          </w:p>
        </w:tc>
        <w:tc>
          <w:tcPr>
            <w:tcW w:w="2350" w:type="pct"/>
            <w:gridSpan w:val="7"/>
            <w:tcBorders>
              <w:top w:val="nil"/>
              <w:left w:val="nil"/>
              <w:bottom w:val="single" w:color="auto" w:sz="8" w:space="0"/>
              <w:right w:val="single" w:color="auto" w:sz="8" w:space="0"/>
            </w:tcBorders>
            <w:shd w:val="clear"/>
            <w:tcMar>
              <w:left w:w="108" w:type="dxa"/>
              <w:right w:w="108" w:type="dxa"/>
            </w:tcMar>
            <w:vAlign w:val="center"/>
          </w:tcPr>
          <w:p w14:paraId="3C6C13A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bl>
    <w:p w14:paraId="433FB5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ind w:left="0" w:right="0" w:firstLine="0"/>
        <w:jc w:val="center"/>
        <w:rPr>
          <w:rFonts w:hint="default" w:ascii="Arial" w:hAnsi="Arial" w:eastAsia="Arial" w:cs="Arial"/>
          <w:i w:val="0"/>
          <w:iCs w:val="0"/>
          <w:caps w:val="0"/>
          <w:color w:val="333333"/>
          <w:spacing w:val="0"/>
          <w:sz w:val="21"/>
          <w:szCs w:val="21"/>
        </w:rPr>
      </w:pPr>
      <w:r>
        <w:rPr>
          <w:rFonts w:hint="eastAsia" w:ascii="黑体" w:hAnsi="宋体" w:eastAsia="黑体" w:cs="黑体"/>
          <w:b/>
          <w:bCs/>
          <w:i w:val="0"/>
          <w:iCs w:val="0"/>
          <w:caps w:val="0"/>
          <w:color w:val="000000"/>
          <w:spacing w:val="0"/>
          <w:kern w:val="0"/>
          <w:sz w:val="32"/>
          <w:szCs w:val="32"/>
          <w:bdr w:val="none" w:color="auto" w:sz="0" w:space="0"/>
          <w:shd w:val="clear" w:fill="FFFFFF"/>
          <w:lang w:val="en-US" w:eastAsia="zh-CN" w:bidi="ar"/>
        </w:rPr>
        <w:t>附件3：教师课堂教学质量评价标准表（同行评价）</w:t>
      </w:r>
    </w:p>
    <w:p w14:paraId="3E7B104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400" w:lineRule="atLeast"/>
        <w:ind w:left="0" w:right="0" w:firstLine="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000000"/>
          <w:spacing w:val="0"/>
          <w:kern w:val="0"/>
          <w:sz w:val="24"/>
          <w:szCs w:val="24"/>
          <w:bdr w:val="none" w:color="auto" w:sz="0" w:space="0"/>
          <w:shd w:val="clear" w:fill="FFFFFF"/>
          <w:lang w:val="en-US" w:eastAsia="zh-CN" w:bidi="ar"/>
        </w:rPr>
        <w:t>请在选项格内打√</w:t>
      </w:r>
    </w:p>
    <w:tbl>
      <w:tblPr>
        <w:tblW w:w="5050" w:type="pct"/>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602"/>
        <w:gridCol w:w="430"/>
        <w:gridCol w:w="3443"/>
        <w:gridCol w:w="516"/>
        <w:gridCol w:w="516"/>
        <w:gridCol w:w="516"/>
        <w:gridCol w:w="516"/>
        <w:gridCol w:w="516"/>
        <w:gridCol w:w="776"/>
        <w:gridCol w:w="776"/>
      </w:tblGrid>
      <w:tr w14:paraId="61235B1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360" w:hRule="atLeast"/>
          <w:jc w:val="center"/>
        </w:trPr>
        <w:tc>
          <w:tcPr>
            <w:tcW w:w="350" w:type="pct"/>
            <w:vMerge w:val="restart"/>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14:paraId="61EB9B7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20" w:lineRule="atLeast"/>
              <w:ind w:left="0" w:right="0"/>
              <w:jc w:val="center"/>
            </w:pPr>
            <w:r>
              <w:rPr>
                <w:rFonts w:hint="eastAsia" w:ascii="仿宋" w:hAnsi="仿宋" w:eastAsia="仿宋" w:cs="仿宋"/>
                <w:color w:val="000000"/>
                <w:kern w:val="0"/>
                <w:sz w:val="20"/>
                <w:szCs w:val="20"/>
                <w:bdr w:val="none" w:color="auto" w:sz="0" w:space="0"/>
                <w:lang w:val="en-US" w:eastAsia="zh-CN" w:bidi="ar"/>
              </w:rPr>
              <w:t>评估</w:t>
            </w:r>
          </w:p>
          <w:p w14:paraId="059BDA4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20" w:lineRule="atLeast"/>
              <w:ind w:left="0" w:right="0"/>
              <w:jc w:val="center"/>
            </w:pPr>
            <w:r>
              <w:rPr>
                <w:rFonts w:hint="eastAsia" w:ascii="仿宋" w:hAnsi="仿宋" w:eastAsia="仿宋" w:cs="仿宋"/>
                <w:color w:val="000000"/>
                <w:kern w:val="0"/>
                <w:sz w:val="20"/>
                <w:szCs w:val="20"/>
                <w:bdr w:val="none" w:color="auto" w:sz="0" w:space="0"/>
                <w:lang w:val="en-US" w:eastAsia="zh-CN" w:bidi="ar"/>
              </w:rPr>
              <w:t>项目</w:t>
            </w:r>
          </w:p>
        </w:tc>
        <w:tc>
          <w:tcPr>
            <w:tcW w:w="250" w:type="pct"/>
            <w:vMerge w:val="restart"/>
            <w:tcBorders>
              <w:top w:val="single" w:color="auto" w:sz="8" w:space="0"/>
              <w:left w:val="nil"/>
              <w:bottom w:val="single" w:color="auto" w:sz="8" w:space="0"/>
              <w:right w:val="single" w:color="auto" w:sz="8" w:space="0"/>
            </w:tcBorders>
            <w:shd w:val="clear"/>
            <w:tcMar>
              <w:left w:w="108" w:type="dxa"/>
              <w:right w:w="108" w:type="dxa"/>
            </w:tcMar>
            <w:vAlign w:val="center"/>
          </w:tcPr>
          <w:p w14:paraId="2D81345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20" w:lineRule="atLeast"/>
              <w:ind w:left="0" w:right="0"/>
              <w:jc w:val="center"/>
            </w:pPr>
            <w:r>
              <w:rPr>
                <w:rFonts w:hint="eastAsia" w:ascii="仿宋" w:hAnsi="仿宋" w:eastAsia="仿宋" w:cs="仿宋"/>
                <w:color w:val="000000"/>
                <w:kern w:val="0"/>
                <w:sz w:val="20"/>
                <w:szCs w:val="20"/>
                <w:bdr w:val="none" w:color="auto" w:sz="0" w:space="0"/>
                <w:lang w:val="en-US" w:eastAsia="zh-CN" w:bidi="ar"/>
              </w:rPr>
              <w:t>分数</w:t>
            </w:r>
          </w:p>
          <w:p w14:paraId="3BA03F9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20" w:lineRule="atLeast"/>
              <w:ind w:left="0" w:right="0"/>
              <w:jc w:val="center"/>
            </w:pPr>
            <w:r>
              <w:rPr>
                <w:rFonts w:hint="eastAsia" w:ascii="仿宋" w:hAnsi="仿宋" w:eastAsia="仿宋" w:cs="仿宋"/>
                <w:color w:val="000000"/>
                <w:kern w:val="0"/>
                <w:sz w:val="20"/>
                <w:szCs w:val="20"/>
                <w:bdr w:val="none" w:color="auto" w:sz="0" w:space="0"/>
                <w:lang w:val="en-US" w:eastAsia="zh-CN" w:bidi="ar"/>
              </w:rPr>
              <w:t>分配</w:t>
            </w:r>
          </w:p>
        </w:tc>
        <w:tc>
          <w:tcPr>
            <w:tcW w:w="1950" w:type="pct"/>
            <w:vMerge w:val="restart"/>
            <w:tcBorders>
              <w:top w:val="single" w:color="auto" w:sz="8" w:space="0"/>
              <w:left w:val="nil"/>
              <w:bottom w:val="single" w:color="auto" w:sz="8" w:space="0"/>
              <w:right w:val="single" w:color="auto" w:sz="8" w:space="0"/>
            </w:tcBorders>
            <w:shd w:val="clear"/>
            <w:tcMar>
              <w:left w:w="108" w:type="dxa"/>
              <w:right w:w="108" w:type="dxa"/>
            </w:tcMar>
            <w:vAlign w:val="center"/>
          </w:tcPr>
          <w:p w14:paraId="15E144D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20" w:lineRule="atLeast"/>
              <w:ind w:left="0" w:right="0"/>
              <w:jc w:val="center"/>
            </w:pPr>
            <w:r>
              <w:rPr>
                <w:rFonts w:hint="eastAsia" w:ascii="仿宋" w:hAnsi="仿宋" w:eastAsia="仿宋" w:cs="仿宋"/>
                <w:color w:val="000000"/>
                <w:kern w:val="0"/>
                <w:sz w:val="20"/>
                <w:szCs w:val="20"/>
                <w:bdr w:val="none" w:color="auto" w:sz="0" w:space="0"/>
                <w:lang w:val="en-US" w:eastAsia="zh-CN" w:bidi="ar"/>
              </w:rPr>
              <w:t>评估指标</w:t>
            </w:r>
          </w:p>
        </w:tc>
        <w:tc>
          <w:tcPr>
            <w:tcW w:w="300" w:type="pct"/>
            <w:vMerge w:val="restart"/>
            <w:tcBorders>
              <w:top w:val="single" w:color="auto" w:sz="8" w:space="0"/>
              <w:left w:val="nil"/>
              <w:bottom w:val="single" w:color="auto" w:sz="8" w:space="0"/>
              <w:right w:val="single" w:color="auto" w:sz="8" w:space="0"/>
            </w:tcBorders>
            <w:shd w:val="clear"/>
            <w:tcMar>
              <w:left w:w="108" w:type="dxa"/>
              <w:right w:w="108" w:type="dxa"/>
            </w:tcMar>
            <w:vAlign w:val="center"/>
          </w:tcPr>
          <w:p w14:paraId="020BC91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20" w:lineRule="atLeast"/>
              <w:ind w:left="0" w:right="0"/>
              <w:jc w:val="center"/>
            </w:pPr>
            <w:r>
              <w:rPr>
                <w:rFonts w:hint="eastAsia" w:ascii="仿宋" w:hAnsi="仿宋" w:eastAsia="仿宋" w:cs="仿宋"/>
                <w:color w:val="000000"/>
                <w:kern w:val="0"/>
                <w:sz w:val="20"/>
                <w:szCs w:val="20"/>
                <w:bdr w:val="none" w:color="auto" w:sz="0" w:space="0"/>
                <w:lang w:val="en-US" w:eastAsia="zh-CN" w:bidi="ar"/>
              </w:rPr>
              <w:t>权重</w:t>
            </w:r>
          </w:p>
          <w:p w14:paraId="6B785F2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20" w:lineRule="atLeast"/>
              <w:ind w:left="0" w:right="0"/>
              <w:jc w:val="center"/>
            </w:pPr>
            <w:r>
              <w:rPr>
                <w:rFonts w:hint="eastAsia" w:ascii="仿宋" w:hAnsi="仿宋" w:eastAsia="仿宋" w:cs="仿宋"/>
                <w:color w:val="000000"/>
                <w:kern w:val="0"/>
                <w:sz w:val="20"/>
                <w:szCs w:val="20"/>
                <w:bdr w:val="none" w:color="auto" w:sz="0" w:space="0"/>
                <w:lang w:val="en-US" w:eastAsia="zh-CN" w:bidi="ar"/>
              </w:rPr>
              <w:t>系数</w:t>
            </w:r>
          </w:p>
        </w:tc>
        <w:tc>
          <w:tcPr>
            <w:tcW w:w="1650" w:type="pct"/>
            <w:gridSpan w:val="5"/>
            <w:tcBorders>
              <w:top w:val="single" w:color="auto" w:sz="8" w:space="0"/>
              <w:left w:val="nil"/>
              <w:bottom w:val="single" w:color="auto" w:sz="8" w:space="0"/>
              <w:right w:val="single" w:color="auto" w:sz="8" w:space="0"/>
            </w:tcBorders>
            <w:shd w:val="clear"/>
            <w:tcMar>
              <w:left w:w="108" w:type="dxa"/>
              <w:right w:w="108" w:type="dxa"/>
            </w:tcMar>
            <w:vAlign w:val="center"/>
          </w:tcPr>
          <w:p w14:paraId="1C4ECFD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各项等级及分值</w:t>
            </w:r>
          </w:p>
        </w:tc>
        <w:tc>
          <w:tcPr>
            <w:tcW w:w="350" w:type="pct"/>
            <w:vMerge w:val="restart"/>
            <w:tcBorders>
              <w:top w:val="single" w:color="auto" w:sz="8" w:space="0"/>
              <w:left w:val="nil"/>
              <w:bottom w:val="single" w:color="auto" w:sz="8" w:space="0"/>
              <w:right w:val="single" w:color="auto" w:sz="8" w:space="0"/>
            </w:tcBorders>
            <w:shd w:val="clear"/>
            <w:tcMar>
              <w:left w:w="108" w:type="dxa"/>
              <w:right w:w="108" w:type="dxa"/>
            </w:tcMar>
            <w:vAlign w:val="center"/>
          </w:tcPr>
          <w:p w14:paraId="61F8445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得分</w:t>
            </w:r>
          </w:p>
        </w:tc>
      </w:tr>
      <w:tr w14:paraId="593C796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05" w:hRule="atLeast"/>
          <w:jc w:val="center"/>
        </w:trPr>
        <w:tc>
          <w:tcPr>
            <w:tcW w:w="350" w:type="pct"/>
            <w:vMerge w:val="continue"/>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14:paraId="11B51273">
            <w:pPr>
              <w:rPr>
                <w:rFonts w:hint="default" w:ascii="Arial" w:hAnsi="Arial" w:eastAsia="Arial" w:cs="Arial"/>
                <w:sz w:val="21"/>
                <w:szCs w:val="21"/>
              </w:rPr>
            </w:pPr>
          </w:p>
        </w:tc>
        <w:tc>
          <w:tcPr>
            <w:tcW w:w="25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55F32A4F">
            <w:pPr>
              <w:rPr>
                <w:rFonts w:hint="default" w:ascii="Arial" w:hAnsi="Arial" w:eastAsia="Arial" w:cs="Arial"/>
                <w:sz w:val="21"/>
                <w:szCs w:val="21"/>
              </w:rPr>
            </w:pPr>
          </w:p>
        </w:tc>
        <w:tc>
          <w:tcPr>
            <w:tcW w:w="195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2346CAA7">
            <w:pPr>
              <w:rPr>
                <w:rFonts w:hint="default" w:ascii="Arial" w:hAnsi="Arial" w:eastAsia="Arial" w:cs="Arial"/>
                <w:sz w:val="21"/>
                <w:szCs w:val="21"/>
              </w:rPr>
            </w:pPr>
          </w:p>
        </w:tc>
        <w:tc>
          <w:tcPr>
            <w:tcW w:w="30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18E93997">
            <w:pPr>
              <w:rPr>
                <w:rFonts w:hint="default" w:ascii="Arial" w:hAnsi="Arial" w:eastAsia="Arial" w:cs="Arial"/>
                <w:sz w:val="21"/>
                <w:szCs w:val="21"/>
              </w:rPr>
            </w:pP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C895E3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A</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B4E52A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B</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90A5B9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C</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A1FFA5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D</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2DEA34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E</w:t>
            </w:r>
          </w:p>
        </w:tc>
        <w:tc>
          <w:tcPr>
            <w:tcW w:w="35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2A4F798B">
            <w:pPr>
              <w:rPr>
                <w:rFonts w:hint="default" w:ascii="Arial" w:hAnsi="Arial" w:eastAsia="Arial" w:cs="Arial"/>
                <w:sz w:val="21"/>
                <w:szCs w:val="21"/>
              </w:rPr>
            </w:pPr>
          </w:p>
        </w:tc>
      </w:tr>
      <w:tr w14:paraId="2CBAF77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jc w:val="center"/>
        </w:trPr>
        <w:tc>
          <w:tcPr>
            <w:tcW w:w="350" w:type="pct"/>
            <w:vMerge w:val="continue"/>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14:paraId="6753A589">
            <w:pPr>
              <w:rPr>
                <w:rFonts w:hint="default" w:ascii="Arial" w:hAnsi="Arial" w:eastAsia="Arial" w:cs="Arial"/>
                <w:sz w:val="21"/>
                <w:szCs w:val="21"/>
              </w:rPr>
            </w:pPr>
          </w:p>
        </w:tc>
        <w:tc>
          <w:tcPr>
            <w:tcW w:w="25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27D20F13">
            <w:pPr>
              <w:rPr>
                <w:rFonts w:hint="default" w:ascii="Arial" w:hAnsi="Arial" w:eastAsia="Arial" w:cs="Arial"/>
                <w:sz w:val="21"/>
                <w:szCs w:val="21"/>
              </w:rPr>
            </w:pPr>
          </w:p>
        </w:tc>
        <w:tc>
          <w:tcPr>
            <w:tcW w:w="195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5AB9972D">
            <w:pPr>
              <w:rPr>
                <w:rFonts w:hint="default" w:ascii="Arial" w:hAnsi="Arial" w:eastAsia="Arial" w:cs="Arial"/>
                <w:sz w:val="21"/>
                <w:szCs w:val="21"/>
              </w:rPr>
            </w:pPr>
          </w:p>
        </w:tc>
        <w:tc>
          <w:tcPr>
            <w:tcW w:w="30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3EE4FEA0">
            <w:pPr>
              <w:rPr>
                <w:rFonts w:hint="default" w:ascii="Arial" w:hAnsi="Arial" w:eastAsia="Arial" w:cs="Arial"/>
                <w:sz w:val="21"/>
                <w:szCs w:val="21"/>
              </w:rPr>
            </w:pP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9FADA5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D46BEC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8</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EA48F0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6</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F522AE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4</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DA93AE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pPr>
            <w:r>
              <w:rPr>
                <w:rFonts w:hint="eastAsia" w:ascii="仿宋" w:hAnsi="仿宋" w:eastAsia="仿宋" w:cs="仿宋"/>
                <w:color w:val="000000"/>
                <w:kern w:val="0"/>
                <w:sz w:val="20"/>
                <w:szCs w:val="20"/>
                <w:bdr w:val="none" w:color="auto" w:sz="0" w:space="0"/>
                <w:lang w:val="en-US" w:eastAsia="zh-CN" w:bidi="ar"/>
              </w:rPr>
              <w:t>2</w:t>
            </w:r>
          </w:p>
        </w:tc>
        <w:tc>
          <w:tcPr>
            <w:tcW w:w="350" w:type="pct"/>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2839E0AE">
            <w:pPr>
              <w:rPr>
                <w:rFonts w:hint="default" w:ascii="Arial" w:hAnsi="Arial" w:eastAsia="Arial" w:cs="Arial"/>
                <w:sz w:val="21"/>
                <w:szCs w:val="21"/>
              </w:rPr>
            </w:pPr>
          </w:p>
        </w:tc>
      </w:tr>
      <w:tr w14:paraId="6EBD41B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40" w:hRule="atLeast"/>
          <w:jc w:val="center"/>
        </w:trPr>
        <w:tc>
          <w:tcPr>
            <w:tcW w:w="350" w:type="pct"/>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268453D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教学</w:t>
            </w:r>
          </w:p>
          <w:p w14:paraId="641AE84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态度</w:t>
            </w:r>
          </w:p>
        </w:tc>
        <w:tc>
          <w:tcPr>
            <w:tcW w:w="250" w:type="pct"/>
            <w:vMerge w:val="restart"/>
            <w:tcBorders>
              <w:top w:val="nil"/>
              <w:left w:val="nil"/>
              <w:bottom w:val="single" w:color="auto" w:sz="8" w:space="0"/>
              <w:right w:val="single" w:color="auto" w:sz="8" w:space="0"/>
            </w:tcBorders>
            <w:shd w:val="clear"/>
            <w:tcMar>
              <w:left w:w="108" w:type="dxa"/>
              <w:right w:w="108" w:type="dxa"/>
            </w:tcMar>
            <w:vAlign w:val="center"/>
          </w:tcPr>
          <w:p w14:paraId="0772534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20</w:t>
            </w: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22C60F6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教学态度端正，全面贯彻党的教育方针，坚持社会主义办学方向，落实立德树人根本任务</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5BB5EC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55241A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F740A6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20ED25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37D5DE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F6E272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2D87B53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78A2F14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50"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26067D70">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3ACB99BE">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607B143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为人师表，教态自然，教风严谨</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B13745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A8E2F0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B7A55A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4F8489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17566C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B9B6D3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71B7071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1383FE7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55"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74F82EA8">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53BF434E">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622531B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教学充满热情，作业批改认真，耐心辅导答疑，评价客观公正</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77403B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4BC481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570178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3509BA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D044A7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DCB84A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182332C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13F8325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10" w:hRule="atLeast"/>
          <w:jc w:val="center"/>
        </w:trPr>
        <w:tc>
          <w:tcPr>
            <w:tcW w:w="350" w:type="pct"/>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013A13D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教学准备</w:t>
            </w:r>
          </w:p>
        </w:tc>
        <w:tc>
          <w:tcPr>
            <w:tcW w:w="250" w:type="pct"/>
            <w:vMerge w:val="restart"/>
            <w:tcBorders>
              <w:top w:val="nil"/>
              <w:left w:val="nil"/>
              <w:bottom w:val="single" w:color="auto" w:sz="8" w:space="0"/>
              <w:right w:val="single" w:color="auto" w:sz="8" w:space="0"/>
            </w:tcBorders>
            <w:shd w:val="clear"/>
            <w:tcMar>
              <w:left w:w="108" w:type="dxa"/>
              <w:right w:w="108" w:type="dxa"/>
            </w:tcMar>
            <w:vAlign w:val="center"/>
          </w:tcPr>
          <w:p w14:paraId="0CEA1C0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465C977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教材、教辅选用适当，备课充分</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84FCC6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219A39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BA87B3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90AC7D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F3A9BF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634113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71EDE7F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39EB9A2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40"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0C6B3E9A">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31F5F0B9">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5F627D2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精心准备教学大纲、教案、PPT等教学材料</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B8C171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DB1134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640600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E23B28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60B39F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A89F88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615A051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35283DD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5" w:hRule="atLeast"/>
          <w:jc w:val="center"/>
        </w:trPr>
        <w:tc>
          <w:tcPr>
            <w:tcW w:w="350" w:type="pct"/>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0B72D6A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教学</w:t>
            </w:r>
          </w:p>
          <w:p w14:paraId="609ADF6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内容</w:t>
            </w:r>
          </w:p>
        </w:tc>
        <w:tc>
          <w:tcPr>
            <w:tcW w:w="250" w:type="pct"/>
            <w:vMerge w:val="restart"/>
            <w:tcBorders>
              <w:top w:val="nil"/>
              <w:left w:val="nil"/>
              <w:bottom w:val="single" w:color="auto" w:sz="8" w:space="0"/>
              <w:right w:val="single" w:color="auto" w:sz="8" w:space="0"/>
            </w:tcBorders>
            <w:shd w:val="clear"/>
            <w:tcMar>
              <w:left w:w="108" w:type="dxa"/>
              <w:right w:w="108" w:type="dxa"/>
            </w:tcMar>
            <w:vAlign w:val="center"/>
          </w:tcPr>
          <w:p w14:paraId="788179B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30</w:t>
            </w: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0BE9055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符合教学大纲的基本要求，突出重点，解决难点，深度、广度适宜</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AB091F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519873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32F560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9F3189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DB5377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A3D34F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6003D1F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3888B87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5"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07191D6B">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10C7D20A">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4B0A1B9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内容理论结合实际，信息量适当，能及时反映本学科的发展动态，具有前沿性和时代性</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F3CEC9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4A020E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A4155F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1FDF5F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343A7C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6D467A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5F85C3C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422964A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5"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17A05330">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17CEBC2D">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5F5352E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教学融入课程思政内容，逻辑性强，举例恰当，能够发挥课程育人功能</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C35EFE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3CB8D6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6ECA8A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32B5D5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762052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4875A0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7EC7B5E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466A0C0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10" w:hRule="atLeast"/>
          <w:jc w:val="center"/>
        </w:trPr>
        <w:tc>
          <w:tcPr>
            <w:tcW w:w="350" w:type="pct"/>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0F2C43A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教学</w:t>
            </w:r>
          </w:p>
          <w:p w14:paraId="4A363CE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方法</w:t>
            </w:r>
          </w:p>
        </w:tc>
        <w:tc>
          <w:tcPr>
            <w:tcW w:w="250" w:type="pct"/>
            <w:vMerge w:val="restart"/>
            <w:tcBorders>
              <w:top w:val="nil"/>
              <w:left w:val="nil"/>
              <w:bottom w:val="single" w:color="auto" w:sz="8" w:space="0"/>
              <w:right w:val="single" w:color="auto" w:sz="8" w:space="0"/>
            </w:tcBorders>
            <w:shd w:val="clear"/>
            <w:tcMar>
              <w:left w:w="108" w:type="dxa"/>
              <w:right w:w="108" w:type="dxa"/>
            </w:tcMar>
            <w:vAlign w:val="center"/>
          </w:tcPr>
          <w:p w14:paraId="40DE6FF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20</w:t>
            </w: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4651BDF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以学生为中心，因材施教，教学方法灵活多样，激发学生学习兴趣</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C89138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AF37F4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F9EDEE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6E1921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DCC9E9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0A11A1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4309012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026CF35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85"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3DE6DD49">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280F63DB">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21138DB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能够将信息技术手段有效融入课堂教学，探索实施网络化、数字化、智能化、个性化教育，具有独特的教学风格和艺术</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F50432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33591B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BFF929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9BF278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B08E89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B4C2CC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21D4337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1EE8E1B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40"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7CE29862">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4A5892F3">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3158234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注重启发式教学，引导学生思考、创新，重视实践能力培养</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B3D007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C3E5AB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CC75B5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F06768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4A07C2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671D1A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4701FEC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664A273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40"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17BAB342">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5A390B79">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0AB36EC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能够运用案例式、合作式、参与式教学，充分发挥学生的主动性</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A8D630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1E8CCC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60FF79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867E02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1ABD2D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2B1B90B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032C412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0802718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25" w:hRule="atLeast"/>
          <w:jc w:val="center"/>
        </w:trPr>
        <w:tc>
          <w:tcPr>
            <w:tcW w:w="350" w:type="pct"/>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43F5388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教学</w:t>
            </w:r>
          </w:p>
          <w:p w14:paraId="7F81794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能力</w:t>
            </w:r>
          </w:p>
        </w:tc>
        <w:tc>
          <w:tcPr>
            <w:tcW w:w="250" w:type="pct"/>
            <w:vMerge w:val="restart"/>
            <w:tcBorders>
              <w:top w:val="nil"/>
              <w:left w:val="nil"/>
              <w:bottom w:val="single" w:color="auto" w:sz="8" w:space="0"/>
              <w:right w:val="single" w:color="auto" w:sz="8" w:space="0"/>
            </w:tcBorders>
            <w:shd w:val="clear"/>
            <w:tcMar>
              <w:left w:w="108" w:type="dxa"/>
              <w:right w:w="108" w:type="dxa"/>
            </w:tcMar>
            <w:vAlign w:val="center"/>
          </w:tcPr>
          <w:p w14:paraId="6DE6AAA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20</w:t>
            </w: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65D8F06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使用国家通用语言文字，讲授熟练，语言清晰，板书工整</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82F881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D6A1BF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9126CF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3F289C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4E4946D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38ABDA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1233363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78A0E06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95"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02680A6A">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4F4904DF">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08B2D43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了解学生学情、学习意愿、教学满意度，及时调整、持续改进教学</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CA78F9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0.5</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21F4F9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68E3C5B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2B3889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06D5A41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AB8147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2A8B304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5250F31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85" w:hRule="atLeast"/>
          <w:jc w:val="center"/>
        </w:trPr>
        <w:tc>
          <w:tcPr>
            <w:tcW w:w="350" w:type="pct"/>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0F2C6069">
            <w:pPr>
              <w:rPr>
                <w:rFonts w:hint="default" w:ascii="Arial" w:hAnsi="Arial" w:eastAsia="Arial" w:cs="Arial"/>
                <w:sz w:val="21"/>
                <w:szCs w:val="21"/>
              </w:rPr>
            </w:pPr>
          </w:p>
        </w:tc>
        <w:tc>
          <w:tcPr>
            <w:tcW w:w="250" w:type="pct"/>
            <w:vMerge w:val="continue"/>
            <w:tcBorders>
              <w:top w:val="nil"/>
              <w:left w:val="nil"/>
              <w:bottom w:val="single" w:color="auto" w:sz="8" w:space="0"/>
              <w:right w:val="single" w:color="auto" w:sz="8" w:space="0"/>
            </w:tcBorders>
            <w:shd w:val="clear"/>
            <w:tcMar>
              <w:left w:w="108" w:type="dxa"/>
              <w:right w:w="108" w:type="dxa"/>
            </w:tcMar>
            <w:vAlign w:val="center"/>
          </w:tcPr>
          <w:p w14:paraId="670AC01D">
            <w:pPr>
              <w:rPr>
                <w:rFonts w:hint="default" w:ascii="Arial" w:hAnsi="Arial" w:eastAsia="Arial" w:cs="Arial"/>
                <w:sz w:val="21"/>
                <w:szCs w:val="21"/>
              </w:rPr>
            </w:pPr>
          </w:p>
        </w:tc>
        <w:tc>
          <w:tcPr>
            <w:tcW w:w="1950" w:type="pct"/>
            <w:tcBorders>
              <w:top w:val="nil"/>
              <w:left w:val="nil"/>
              <w:bottom w:val="single" w:color="auto" w:sz="8" w:space="0"/>
              <w:right w:val="single" w:color="auto" w:sz="8" w:space="0"/>
            </w:tcBorders>
            <w:shd w:val="clear"/>
            <w:tcMar>
              <w:left w:w="108" w:type="dxa"/>
              <w:right w:w="108" w:type="dxa"/>
            </w:tcMar>
            <w:vAlign w:val="center"/>
          </w:tcPr>
          <w:p w14:paraId="49E3697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left"/>
            </w:pPr>
            <w:r>
              <w:rPr>
                <w:rFonts w:hint="eastAsia" w:ascii="仿宋" w:hAnsi="仿宋" w:eastAsia="仿宋" w:cs="仿宋"/>
                <w:color w:val="000000"/>
                <w:kern w:val="0"/>
                <w:sz w:val="20"/>
                <w:szCs w:val="20"/>
                <w:bdr w:val="none" w:color="auto" w:sz="0" w:space="0"/>
                <w:lang w:val="en-US" w:eastAsia="zh-CN" w:bidi="ar"/>
              </w:rPr>
              <w:t>课程体现两性一度（高阶性、创新性、挑战度），课堂教学质量较高</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59F66D1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1.0</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3BAEF8A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3341AD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F58B93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7147461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00" w:type="pct"/>
            <w:tcBorders>
              <w:top w:val="nil"/>
              <w:left w:val="nil"/>
              <w:bottom w:val="single" w:color="auto" w:sz="8" w:space="0"/>
              <w:right w:val="single" w:color="auto" w:sz="8" w:space="0"/>
            </w:tcBorders>
            <w:shd w:val="clear"/>
            <w:tcMar>
              <w:left w:w="108" w:type="dxa"/>
              <w:right w:w="108" w:type="dxa"/>
            </w:tcMar>
            <w:vAlign w:val="center"/>
          </w:tcPr>
          <w:p w14:paraId="1ADD096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c>
          <w:tcPr>
            <w:tcW w:w="350" w:type="pct"/>
            <w:tcBorders>
              <w:top w:val="nil"/>
              <w:left w:val="nil"/>
              <w:bottom w:val="single" w:color="auto" w:sz="8" w:space="0"/>
              <w:right w:val="single" w:color="auto" w:sz="8" w:space="0"/>
            </w:tcBorders>
            <w:shd w:val="clear"/>
            <w:tcMar>
              <w:left w:w="108" w:type="dxa"/>
              <w:right w:w="108" w:type="dxa"/>
            </w:tcMar>
            <w:vAlign w:val="center"/>
          </w:tcPr>
          <w:p w14:paraId="70BAD30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4E57AC3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30" w:hRule="atLeast"/>
          <w:jc w:val="center"/>
        </w:trPr>
        <w:tc>
          <w:tcPr>
            <w:tcW w:w="350" w:type="pct"/>
            <w:tcBorders>
              <w:top w:val="nil"/>
              <w:left w:val="single" w:color="auto" w:sz="8" w:space="0"/>
              <w:bottom w:val="single" w:color="auto" w:sz="8" w:space="0"/>
              <w:right w:val="single" w:color="auto" w:sz="8" w:space="0"/>
            </w:tcBorders>
            <w:shd w:val="clear"/>
            <w:tcMar>
              <w:left w:w="108" w:type="dxa"/>
              <w:right w:w="108" w:type="dxa"/>
            </w:tcMar>
            <w:vAlign w:val="center"/>
          </w:tcPr>
          <w:p w14:paraId="3AD279A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其他意见和建议</w:t>
            </w:r>
          </w:p>
        </w:tc>
        <w:tc>
          <w:tcPr>
            <w:tcW w:w="4600" w:type="pct"/>
            <w:gridSpan w:val="9"/>
            <w:tcBorders>
              <w:top w:val="nil"/>
              <w:left w:val="nil"/>
              <w:bottom w:val="single" w:color="auto" w:sz="8" w:space="0"/>
              <w:right w:val="single" w:color="auto" w:sz="8" w:space="0"/>
            </w:tcBorders>
            <w:shd w:val="clear"/>
            <w:tcMar>
              <w:left w:w="108" w:type="dxa"/>
              <w:right w:w="108" w:type="dxa"/>
            </w:tcMar>
            <w:vAlign w:val="center"/>
          </w:tcPr>
          <w:p w14:paraId="37E6CBA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r w14:paraId="2CA3B61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5" w:hRule="atLeast"/>
          <w:jc w:val="center"/>
        </w:trPr>
        <w:tc>
          <w:tcPr>
            <w:tcW w:w="2600" w:type="pct"/>
            <w:gridSpan w:val="3"/>
            <w:tcBorders>
              <w:top w:val="nil"/>
              <w:left w:val="single" w:color="auto" w:sz="8" w:space="0"/>
              <w:bottom w:val="single" w:color="auto" w:sz="8" w:space="0"/>
              <w:right w:val="single" w:color="auto" w:sz="8" w:space="0"/>
            </w:tcBorders>
            <w:shd w:val="clear"/>
            <w:tcMar>
              <w:left w:w="108" w:type="dxa"/>
              <w:right w:w="108" w:type="dxa"/>
            </w:tcMar>
            <w:vAlign w:val="center"/>
          </w:tcPr>
          <w:p w14:paraId="26C1C50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评估总得分</w:t>
            </w:r>
          </w:p>
          <w:p w14:paraId="57724A6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eastAsia" w:ascii="仿宋" w:hAnsi="仿宋" w:eastAsia="仿宋" w:cs="仿宋"/>
                <w:color w:val="000000"/>
                <w:kern w:val="0"/>
                <w:sz w:val="20"/>
                <w:szCs w:val="20"/>
                <w:bdr w:val="none" w:color="auto" w:sz="0" w:space="0"/>
                <w:lang w:val="en-US" w:eastAsia="zh-CN" w:bidi="ar"/>
              </w:rPr>
              <w:t>（等于各项等级分值与权重系数的乘积之和）</w:t>
            </w:r>
          </w:p>
        </w:tc>
        <w:tc>
          <w:tcPr>
            <w:tcW w:w="2350" w:type="pct"/>
            <w:gridSpan w:val="7"/>
            <w:tcBorders>
              <w:top w:val="nil"/>
              <w:left w:val="nil"/>
              <w:bottom w:val="single" w:color="auto" w:sz="8" w:space="0"/>
              <w:right w:val="single" w:color="auto" w:sz="8" w:space="0"/>
            </w:tcBorders>
            <w:shd w:val="clear"/>
            <w:tcMar>
              <w:left w:w="108" w:type="dxa"/>
              <w:right w:w="108" w:type="dxa"/>
            </w:tcMar>
            <w:vAlign w:val="center"/>
          </w:tcPr>
          <w:p w14:paraId="2E46DE1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00" w:lineRule="atLeast"/>
              <w:ind w:left="0" w:right="0"/>
              <w:jc w:val="center"/>
            </w:pPr>
            <w:r>
              <w:rPr>
                <w:rFonts w:hint="default" w:ascii="Arial" w:hAnsi="Arial" w:eastAsia="Arial" w:cs="Arial"/>
                <w:kern w:val="0"/>
                <w:sz w:val="24"/>
                <w:szCs w:val="24"/>
                <w:bdr w:val="none" w:color="auto" w:sz="0" w:space="0"/>
                <w:lang w:val="en-US" w:eastAsia="zh-CN" w:bidi="ar"/>
              </w:rPr>
              <w:t> </w:t>
            </w:r>
          </w:p>
        </w:tc>
      </w:tr>
    </w:tbl>
    <w:p w14:paraId="013B87D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0YmFlMDc0YTZiMDIxNjU0Y2NjYTI1YWRiZmQ3MDgifQ=="/>
  </w:docVars>
  <w:rsids>
    <w:rsidRoot w:val="62871363"/>
    <w:rsid w:val="62871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2024-10-27T23:58:00Z</dcterms:created>
  <dc:creator>孙会艳</dc:creator>
  <cp:lastModifiedBy>孙会艳</cp:lastModifiedBy>
  <dcterms:modified xsi:type="dcterms:W3CDTF">2024-10-27T23:58:38Z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7997204FFA774CDB8FB6359882798D01_11</vt:lpwstr>
  </property>
</Properties>
</file>