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附件4：</w:t>
      </w:r>
    </w:p>
    <w:p>
      <w:pPr>
        <w:jc w:val="center"/>
        <w:rPr>
          <w:rFonts w:ascii="方正粗宋简体" w:eastAsia="方正粗宋简体"/>
          <w:b/>
          <w:bCs/>
          <w:sz w:val="36"/>
          <w:szCs w:val="32"/>
        </w:rPr>
      </w:pPr>
      <w:r>
        <w:rPr>
          <w:rFonts w:hint="eastAsia" w:ascii="方正粗宋简体" w:eastAsia="方正粗宋简体"/>
          <w:b/>
          <w:bCs/>
          <w:sz w:val="36"/>
          <w:szCs w:val="32"/>
        </w:rPr>
        <w:t>赤峰学院</w:t>
      </w:r>
      <w:r>
        <w:rPr>
          <w:rFonts w:hint="eastAsia" w:ascii="方正粗宋简体" w:hAnsi="宋体" w:eastAsia="方正粗宋简体"/>
          <w:b/>
          <w:bCs/>
          <w:sz w:val="36"/>
          <w:szCs w:val="32"/>
        </w:rPr>
        <w:t>2019年度</w:t>
      </w:r>
      <w:r>
        <w:rPr>
          <w:rFonts w:hint="eastAsia" w:ascii="方正粗宋简体" w:eastAsia="方正粗宋简体"/>
          <w:b/>
          <w:bCs/>
          <w:sz w:val="36"/>
          <w:szCs w:val="32"/>
        </w:rPr>
        <w:t>教</w:t>
      </w:r>
      <w:r>
        <w:rPr>
          <w:rFonts w:hint="eastAsia" w:ascii="方正粗宋简体" w:hAnsi="宋体" w:eastAsia="方正粗宋简体" w:cs="宋体"/>
          <w:b/>
          <w:bCs/>
          <w:sz w:val="36"/>
          <w:szCs w:val="32"/>
        </w:rPr>
        <w:t>师</w:t>
      </w:r>
      <w:r>
        <w:rPr>
          <w:rFonts w:hint="eastAsia" w:ascii="方正粗宋简体" w:eastAsia="方正粗宋简体"/>
          <w:b/>
          <w:bCs/>
          <w:sz w:val="36"/>
          <w:szCs w:val="32"/>
        </w:rPr>
        <w:t>系列</w:t>
      </w:r>
      <w:r>
        <w:rPr>
          <w:rFonts w:hint="eastAsia" w:ascii="方正粗宋简体" w:hAnsi="宋体" w:eastAsia="方正粗宋简体" w:cs="宋体"/>
          <w:b/>
          <w:bCs/>
          <w:sz w:val="36"/>
          <w:szCs w:val="32"/>
        </w:rPr>
        <w:t>专业</w:t>
      </w:r>
      <w:r>
        <w:rPr>
          <w:rFonts w:hint="eastAsia" w:ascii="方正粗宋简体" w:eastAsia="方正粗宋简体"/>
          <w:b/>
          <w:bCs/>
          <w:sz w:val="36"/>
          <w:szCs w:val="32"/>
        </w:rPr>
        <w:t>技</w:t>
      </w:r>
      <w:r>
        <w:rPr>
          <w:rFonts w:hint="eastAsia" w:ascii="方正粗宋简体" w:hAnsi="宋体" w:eastAsia="方正粗宋简体" w:cs="宋体"/>
          <w:b/>
          <w:bCs/>
          <w:sz w:val="36"/>
          <w:szCs w:val="32"/>
        </w:rPr>
        <w:t>术资</w:t>
      </w:r>
      <w:r>
        <w:rPr>
          <w:rFonts w:hint="eastAsia" w:ascii="方正粗宋简体" w:eastAsia="方正粗宋简体"/>
          <w:b/>
          <w:bCs/>
          <w:sz w:val="36"/>
          <w:szCs w:val="32"/>
        </w:rPr>
        <w:t>格</w:t>
      </w:r>
      <w:r>
        <w:rPr>
          <w:rFonts w:hint="eastAsia" w:ascii="方正粗宋简体" w:hAnsi="宋体" w:eastAsia="方正粗宋简体" w:cs="宋体"/>
          <w:b/>
          <w:bCs/>
          <w:sz w:val="36"/>
          <w:szCs w:val="32"/>
        </w:rPr>
        <w:t>评审</w:t>
      </w:r>
      <w:r>
        <w:rPr>
          <w:rFonts w:hint="eastAsia" w:ascii="方正粗宋简体" w:eastAsia="方正粗宋简体"/>
          <w:b/>
          <w:bCs/>
          <w:sz w:val="36"/>
          <w:szCs w:val="32"/>
        </w:rPr>
        <w:t>量化考</w:t>
      </w:r>
      <w:r>
        <w:rPr>
          <w:rFonts w:hint="eastAsia" w:ascii="方正粗宋简体" w:hAnsi="宋体" w:eastAsia="方正粗宋简体" w:cs="宋体"/>
          <w:b/>
          <w:bCs/>
          <w:sz w:val="36"/>
          <w:szCs w:val="32"/>
        </w:rPr>
        <w:t>评细则赋</w:t>
      </w:r>
      <w:r>
        <w:rPr>
          <w:rFonts w:hint="eastAsia" w:ascii="方正粗宋简体" w:eastAsia="方正粗宋简体"/>
          <w:b/>
          <w:bCs/>
          <w:sz w:val="36"/>
          <w:szCs w:val="32"/>
        </w:rPr>
        <w:t>分标准</w:t>
      </w:r>
    </w:p>
    <w:p>
      <w:pPr>
        <w:jc w:val="center"/>
        <w:rPr>
          <w:rFonts w:ascii="方正粗宋简体" w:eastAsia="方正粗宋简体"/>
          <w:b/>
          <w:bCs/>
          <w:sz w:val="36"/>
          <w:szCs w:val="32"/>
        </w:rPr>
      </w:pPr>
      <w:r>
        <w:rPr>
          <w:rFonts w:hint="eastAsia" w:ascii="方正粗宋简体" w:eastAsia="方正粗宋简体"/>
          <w:b/>
          <w:bCs/>
          <w:sz w:val="36"/>
          <w:szCs w:val="32"/>
        </w:rPr>
        <w:t>（自然科学研究）</w:t>
      </w:r>
    </w:p>
    <w:p>
      <w:pPr>
        <w:rPr>
          <w:rFonts w:ascii="Calibri"/>
          <w:sz w:val="21"/>
          <w:szCs w:val="21"/>
        </w:rPr>
      </w:pPr>
    </w:p>
    <w:tbl>
      <w:tblPr>
        <w:tblStyle w:val="24"/>
        <w:tblW w:w="1309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1498"/>
        <w:gridCol w:w="1688"/>
        <w:gridCol w:w="13"/>
        <w:gridCol w:w="1965"/>
        <w:gridCol w:w="1156"/>
        <w:gridCol w:w="644"/>
        <w:gridCol w:w="2705"/>
        <w:gridCol w:w="867"/>
        <w:gridCol w:w="17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方正粗宋简体" w:eastAsia="方正粗宋简体"/>
                <w:sz w:val="21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1"/>
                <w:szCs w:val="21"/>
              </w:rPr>
              <w:t>项目</w:t>
            </w:r>
          </w:p>
        </w:tc>
        <w:tc>
          <w:tcPr>
            <w:tcW w:w="966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方正粗宋简体" w:eastAsia="方正粗宋简体"/>
                <w:sz w:val="21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1"/>
                <w:szCs w:val="21"/>
              </w:rPr>
              <w:t>量化评分标准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方正粗宋简体" w:eastAsia="方正粗宋简体"/>
                <w:sz w:val="21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1"/>
                <w:szCs w:val="21"/>
              </w:rPr>
              <w:t>最高分</w:t>
            </w: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方正粗宋简体" w:eastAsia="方正粗宋简体"/>
                <w:sz w:val="21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1"/>
                <w:szCs w:val="21"/>
              </w:rPr>
              <w:t>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5" w:type="dxa"/>
            <w:vMerge w:val="restart"/>
            <w:tcBorders>
              <w:top w:val="single" w:color="auto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方正粗宋简体" w:eastAsia="方正粗宋简体"/>
                <w:sz w:val="28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8"/>
                <w:szCs w:val="21"/>
              </w:rPr>
              <w:t>学历</w:t>
            </w:r>
          </w:p>
          <w:p>
            <w:pPr>
              <w:rPr>
                <w:rFonts w:ascii="方正粗宋简体" w:eastAsia="方正粗宋简体"/>
                <w:sz w:val="21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8"/>
                <w:szCs w:val="21"/>
              </w:rPr>
              <w:t>学位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学历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博士后出站人员</w:t>
            </w:r>
          </w:p>
        </w:tc>
        <w:tc>
          <w:tcPr>
            <w:tcW w:w="1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博士研究生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硕士研究生</w:t>
            </w:r>
          </w:p>
        </w:tc>
        <w:tc>
          <w:tcPr>
            <w:tcW w:w="2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本科</w:t>
            </w:r>
          </w:p>
        </w:tc>
        <w:tc>
          <w:tcPr>
            <w:tcW w:w="86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 w:eastAsiaTheme="minorEastAsia"/>
                <w:sz w:val="21"/>
                <w:szCs w:val="21"/>
              </w:rPr>
              <w:t>6</w:t>
            </w:r>
            <w:r>
              <w:rPr>
                <w:rFonts w:hint="eastAsia" w:ascii="宋体" w:hAnsi="宋体" w:cs="宋体"/>
                <w:sz w:val="21"/>
                <w:szCs w:val="21"/>
              </w:rPr>
              <w:t>分</w:t>
            </w:r>
          </w:p>
        </w:tc>
        <w:tc>
          <w:tcPr>
            <w:tcW w:w="176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学历+学位=分值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5" w:type="dxa"/>
            <w:vMerge w:val="continue"/>
            <w:tcBorders>
              <w:top w:val="single" w:color="auto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方正粗宋简体" w:eastAsia="方正粗宋简体"/>
              </w:rPr>
            </w:pPr>
          </w:p>
        </w:tc>
        <w:tc>
          <w:tcPr>
            <w:tcW w:w="1498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分值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4</w:t>
            </w:r>
          </w:p>
        </w:tc>
        <w:tc>
          <w:tcPr>
            <w:tcW w:w="1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3.5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3</w:t>
            </w:r>
          </w:p>
        </w:tc>
        <w:tc>
          <w:tcPr>
            <w:tcW w:w="2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2.5</w:t>
            </w: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5" w:type="dxa"/>
            <w:vMerge w:val="continue"/>
            <w:tcBorders>
              <w:top w:val="single" w:color="auto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方正粗宋简体" w:eastAsia="方正粗宋简体"/>
              </w:rPr>
            </w:pPr>
          </w:p>
        </w:tc>
        <w:tc>
          <w:tcPr>
            <w:tcW w:w="1498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学位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博士</w:t>
            </w:r>
          </w:p>
        </w:tc>
        <w:tc>
          <w:tcPr>
            <w:tcW w:w="1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硕士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学士</w:t>
            </w:r>
          </w:p>
        </w:tc>
        <w:tc>
          <w:tcPr>
            <w:tcW w:w="2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5" w:type="dxa"/>
            <w:vMerge w:val="continue"/>
            <w:tcBorders>
              <w:top w:val="single" w:color="auto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方正粗宋简体" w:eastAsia="方正粗宋简体"/>
              </w:rPr>
            </w:pPr>
          </w:p>
        </w:tc>
        <w:tc>
          <w:tcPr>
            <w:tcW w:w="1498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分值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</w:t>
            </w:r>
          </w:p>
        </w:tc>
        <w:tc>
          <w:tcPr>
            <w:tcW w:w="1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1.5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</w:t>
            </w:r>
          </w:p>
        </w:tc>
        <w:tc>
          <w:tcPr>
            <w:tcW w:w="2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867" w:type="dxa"/>
            <w:vMerge w:val="continue"/>
            <w:tcBorders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95" w:type="dxa"/>
            <w:tcBorders>
              <w:top w:val="single" w:color="auto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方正粗宋简体" w:eastAsia="方正粗宋简体"/>
                <w:sz w:val="21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8"/>
                <w:szCs w:val="21"/>
              </w:rPr>
              <w:t>任职资历</w:t>
            </w:r>
          </w:p>
        </w:tc>
        <w:tc>
          <w:tcPr>
            <w:tcW w:w="9669" w:type="dxa"/>
            <w:gridSpan w:val="7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pacing w:val="-4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pacing w:val="-4"/>
                <w:szCs w:val="21"/>
              </w:rPr>
              <w:t>符合《内蒙古自治区普通高校教师高级专业技术资格评审条件》的资历年限的要求，每超满一年加</w:t>
            </w:r>
            <w:r>
              <w:rPr>
                <w:rFonts w:ascii="仿宋" w:hAnsi="仿宋" w:eastAsia="仿宋"/>
                <w:spacing w:val="-4"/>
                <w:szCs w:val="21"/>
              </w:rPr>
              <w:t>0.5</w:t>
            </w:r>
            <w:r>
              <w:rPr>
                <w:rFonts w:hint="eastAsia" w:ascii="仿宋" w:hAnsi="仿宋" w:eastAsia="仿宋" w:cs="宋体"/>
                <w:spacing w:val="-4"/>
                <w:szCs w:val="21"/>
              </w:rPr>
              <w:t>分</w:t>
            </w:r>
            <w:r>
              <w:rPr>
                <w:rFonts w:hint="eastAsia" w:ascii="宋体" w:hAnsi="宋体" w:cs="宋体"/>
                <w:spacing w:val="-4"/>
                <w:sz w:val="22"/>
                <w:szCs w:val="21"/>
              </w:rPr>
              <w:t>。</w:t>
            </w:r>
          </w:p>
        </w:tc>
        <w:tc>
          <w:tcPr>
            <w:tcW w:w="867" w:type="dxa"/>
            <w:tcBorders>
              <w:top w:val="single" w:color="auto" w:sz="6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 w:eastAsiaTheme="minorEastAsia"/>
                <w:sz w:val="21"/>
                <w:szCs w:val="21"/>
              </w:rPr>
              <w:t>2分</w:t>
            </w:r>
          </w:p>
        </w:tc>
        <w:tc>
          <w:tcPr>
            <w:tcW w:w="1767" w:type="dxa"/>
            <w:tcBorders>
              <w:top w:val="single" w:color="auto" w:sz="6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95" w:type="dxa"/>
            <w:tcBorders>
              <w:top w:val="single" w:color="auto" w:sz="6" w:space="0"/>
              <w:left w:val="single" w:color="000000" w:sz="4" w:space="0"/>
              <w:bottom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方正粗宋简体" w:eastAsia="方正粗宋简体"/>
                <w:sz w:val="21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8"/>
                <w:szCs w:val="21"/>
              </w:rPr>
              <w:t>培训经历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培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训经历</w:t>
            </w:r>
          </w:p>
        </w:tc>
        <w:tc>
          <w:tcPr>
            <w:tcW w:w="8171" w:type="dxa"/>
            <w:gridSpan w:val="6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pacing w:val="-4"/>
                <w:sz w:val="18"/>
              </w:rPr>
              <w:t>任现职以来，由学校组织的教师发展主题或专项培训，经考核合格并取得结业证书的计0.5分，国内半年（学期）及以上本专业领域进修培训经历且取得结业证书的计1分，国外3个月及以上本专业领域进修培训经历且考核合格的计2分。多次进修培训时间不累加，只计算最高分值。</w:t>
            </w:r>
          </w:p>
        </w:tc>
        <w:tc>
          <w:tcPr>
            <w:tcW w:w="867" w:type="dxa"/>
            <w:tcBorders>
              <w:top w:val="single" w:color="auto" w:sz="6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sz w:val="21"/>
                <w:szCs w:val="21"/>
              </w:rPr>
              <w:t>分</w:t>
            </w:r>
          </w:p>
        </w:tc>
        <w:tc>
          <w:tcPr>
            <w:tcW w:w="1767" w:type="dxa"/>
            <w:tcBorders>
              <w:top w:val="single" w:color="auto" w:sz="6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方正粗宋简体" w:eastAsia="方正粗宋简体"/>
                <w:sz w:val="28"/>
                <w:szCs w:val="21"/>
              </w:rPr>
            </w:pPr>
            <w:r>
              <w:rPr>
                <w:rFonts w:hint="eastAsia" w:ascii="方正粗宋简体" w:eastAsia="方正粗宋简体"/>
                <w:sz w:val="28"/>
                <w:szCs w:val="21"/>
              </w:rPr>
              <w:t>教学</w:t>
            </w:r>
          </w:p>
          <w:p>
            <w:pPr>
              <w:rPr>
                <w:rFonts w:ascii="方正粗宋简体" w:eastAsia="方正粗宋简体"/>
                <w:sz w:val="21"/>
                <w:szCs w:val="21"/>
              </w:rPr>
            </w:pPr>
            <w:r>
              <w:rPr>
                <w:rFonts w:hint="eastAsia" w:ascii="方正粗宋简体" w:eastAsia="方正粗宋简体"/>
                <w:sz w:val="13"/>
                <w:szCs w:val="21"/>
              </w:rPr>
              <w:t>（20分）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教学工作量</w:t>
            </w:r>
          </w:p>
        </w:tc>
        <w:tc>
          <w:tcPr>
            <w:tcW w:w="8171" w:type="dxa"/>
            <w:gridSpan w:val="6"/>
            <w:tcBorders>
              <w:top w:val="single" w:color="auto" w:sz="6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spacing w:line="0" w:lineRule="atLeast"/>
              <w:rPr>
                <w:rFonts w:ascii="仿宋" w:hAnsi="仿宋" w:eastAsia="仿宋"/>
                <w:spacing w:val="-4"/>
              </w:rPr>
            </w:pPr>
            <w:r>
              <w:rPr>
                <w:rFonts w:hint="eastAsia" w:ascii="仿宋" w:hAnsi="仿宋" w:eastAsia="仿宋"/>
                <w:spacing w:val="-4"/>
              </w:rPr>
              <w:t>任现职以来年平均标准课时达到32课时计8分。年平均标准课时每超出1学分，计1分。</w:t>
            </w:r>
          </w:p>
        </w:tc>
        <w:tc>
          <w:tcPr>
            <w:tcW w:w="8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10分</w:t>
            </w:r>
          </w:p>
        </w:tc>
        <w:tc>
          <w:tcPr>
            <w:tcW w:w="176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  <w:jc w:val="center"/>
        </w:trPr>
        <w:tc>
          <w:tcPr>
            <w:tcW w:w="7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498" w:type="dxa"/>
            <w:tcBorders>
              <w:top w:val="single" w:color="auto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教学质量工程</w:t>
            </w:r>
          </w:p>
        </w:tc>
        <w:tc>
          <w:tcPr>
            <w:tcW w:w="8171" w:type="dxa"/>
            <w:gridSpan w:val="6"/>
            <w:tcBorders>
              <w:top w:val="single" w:color="auto" w:sz="6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国家特色专业、品牌专业、精品课、双语教学示范课、教学团队、教学名师、大学生创新项目指导教师等，计2分；自治区级特色专业、品牌专业、精品课、双语教学示范课、教学团队、教学名师、大学生创新项目指导教师，计1.5分；市级特色专业、品牌专业、精品课、双语教学示范课、教学团队、教学名师、大学生创新项目指导教师，计1分；校级特色专业、品牌专业、精品课、双语教学示范课、教学团队、教学名师、大学生创新项目指导教师，计0.5分。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2分</w:t>
            </w: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498" w:type="dxa"/>
            <w:vMerge w:val="restart"/>
            <w:tcBorders>
              <w:top w:val="single" w:color="auto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学生论文指导、毕业实习</w:t>
            </w:r>
          </w:p>
        </w:tc>
        <w:tc>
          <w:tcPr>
            <w:tcW w:w="8171" w:type="dxa"/>
            <w:gridSpan w:val="6"/>
            <w:vMerge w:val="restart"/>
            <w:tcBorders>
              <w:top w:val="single" w:color="auto" w:sz="6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指导1名硕士生毕业论文并达到毕业要求，计4分；</w:t>
            </w:r>
          </w:p>
          <w:p>
            <w:pPr>
              <w:jc w:val="left"/>
              <w:rPr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指导1名本科生毕业论文并达到优秀毕业设计要求，计2分；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95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498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0"/>
                <w:szCs w:val="10"/>
              </w:rPr>
            </w:pPr>
          </w:p>
        </w:tc>
        <w:tc>
          <w:tcPr>
            <w:tcW w:w="8171" w:type="dxa"/>
            <w:gridSpan w:val="6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1"/>
              </w:rPr>
            </w:pPr>
          </w:p>
        </w:tc>
        <w:tc>
          <w:tcPr>
            <w:tcW w:w="867" w:type="dxa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8分</w:t>
            </w:r>
          </w:p>
        </w:tc>
        <w:tc>
          <w:tcPr>
            <w:tcW w:w="1767" w:type="dxa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795" w:type="dxa"/>
            <w:vMerge w:val="restart"/>
            <w:tcBorders>
              <w:top w:val="single" w:color="auto" w:sz="6" w:space="0"/>
              <w:left w:val="single" w:color="auto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方正粗宋简体" w:eastAsia="方正粗宋简体"/>
                <w:sz w:val="28"/>
                <w:szCs w:val="21"/>
              </w:rPr>
            </w:pPr>
            <w:r>
              <w:rPr>
                <w:rFonts w:hint="eastAsia" w:ascii="方正粗宋简体" w:eastAsia="方正粗宋简体"/>
                <w:sz w:val="28"/>
                <w:szCs w:val="21"/>
              </w:rPr>
              <w:t>科研</w:t>
            </w:r>
          </w:p>
          <w:p>
            <w:pPr>
              <w:jc w:val="center"/>
              <w:rPr>
                <w:rFonts w:ascii="宋体" w:eastAsiaTheme="minorEastAsia"/>
                <w:sz w:val="21"/>
                <w:szCs w:val="21"/>
              </w:rPr>
            </w:pPr>
            <w:r>
              <w:rPr>
                <w:rFonts w:hint="eastAsia" w:ascii="方正粗宋简体" w:eastAsia="方正粗宋简体"/>
                <w:sz w:val="15"/>
                <w:szCs w:val="21"/>
              </w:rPr>
              <w:t>（60分）</w:t>
            </w:r>
          </w:p>
        </w:tc>
        <w:tc>
          <w:tcPr>
            <w:tcW w:w="1498" w:type="dxa"/>
            <w:vMerge w:val="restart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eastAsiaTheme="minorEastAsia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论</w:t>
            </w:r>
            <w:r>
              <w:rPr>
                <w:rFonts w:ascii="宋体" w:eastAsia="Times New Roman"/>
                <w:sz w:val="21"/>
                <w:szCs w:val="21"/>
              </w:rPr>
              <w:t>文</w:t>
            </w:r>
            <w:r>
              <w:rPr>
                <w:rFonts w:hint="eastAsia" w:ascii="宋体" w:eastAsiaTheme="minorEastAsia"/>
                <w:sz w:val="21"/>
                <w:szCs w:val="21"/>
              </w:rPr>
              <w:t>代表作</w:t>
            </w:r>
          </w:p>
          <w:p>
            <w:pPr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hint="eastAsia" w:ascii="宋体" w:eastAsiaTheme="minorEastAsia"/>
                <w:sz w:val="21"/>
                <w:szCs w:val="21"/>
              </w:rPr>
              <w:t>（15分）</w:t>
            </w:r>
          </w:p>
        </w:tc>
        <w:tc>
          <w:tcPr>
            <w:tcW w:w="4822" w:type="dxa"/>
            <w:gridSpan w:val="4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SCI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  </w:t>
            </w:r>
            <w:r>
              <w:rPr>
                <w:rFonts w:eastAsia="Times New Roman"/>
                <w:sz w:val="21"/>
                <w:szCs w:val="21"/>
              </w:rPr>
              <w:t>1</w:t>
            </w:r>
            <w:r>
              <w:rPr>
                <w:rFonts w:hint="eastAsia" w:eastAsiaTheme="minorEastAsia"/>
                <w:sz w:val="21"/>
                <w:szCs w:val="21"/>
              </w:rPr>
              <w:t xml:space="preserve">区 至 </w:t>
            </w:r>
            <w:r>
              <w:rPr>
                <w:rFonts w:eastAsia="Times New Roman"/>
                <w:sz w:val="21"/>
                <w:szCs w:val="21"/>
              </w:rPr>
              <w:t>SCI</w:t>
            </w:r>
            <w:r>
              <w:rPr>
                <w:rFonts w:hint="eastAsia" w:eastAsiaTheme="minorEastAsia"/>
                <w:sz w:val="21"/>
                <w:szCs w:val="21"/>
              </w:rPr>
              <w:t xml:space="preserve">  </w:t>
            </w:r>
            <w:r>
              <w:rPr>
                <w:rFonts w:eastAsia="Times New Roman"/>
                <w:sz w:val="21"/>
                <w:szCs w:val="21"/>
              </w:rPr>
              <w:t>4</w:t>
            </w:r>
            <w:r>
              <w:rPr>
                <w:rFonts w:hint="eastAsia" w:ascii="宋体" w:hAnsi="宋体" w:cs="宋体"/>
                <w:sz w:val="21"/>
                <w:szCs w:val="21"/>
              </w:rPr>
              <w:t>区</w:t>
            </w:r>
          </w:p>
        </w:tc>
        <w:tc>
          <w:tcPr>
            <w:tcW w:w="3349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</w:rPr>
              <w:t>分别为10分、8分、6分、4分</w:t>
            </w:r>
          </w:p>
        </w:tc>
        <w:tc>
          <w:tcPr>
            <w:tcW w:w="867" w:type="dxa"/>
            <w:vMerge w:val="restart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hint="eastAsia" w:ascii="宋体" w:eastAsiaTheme="minorEastAsia"/>
                <w:sz w:val="21"/>
                <w:szCs w:val="21"/>
              </w:rPr>
              <w:t>15分</w:t>
            </w:r>
          </w:p>
        </w:tc>
        <w:tc>
          <w:tcPr>
            <w:tcW w:w="1767" w:type="dxa"/>
            <w:vMerge w:val="restart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科技处审核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498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  <w:tc>
          <w:tcPr>
            <w:tcW w:w="48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 w:cs="宋体"/>
                <w:sz w:val="21"/>
                <w:szCs w:val="24"/>
              </w:rPr>
              <w:t>人文社科类论文被《中国社会科学》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、</w:t>
            </w:r>
          </w:p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1"/>
                <w:szCs w:val="24"/>
              </w:rPr>
              <w:t>《新华文摘》或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SSCI</w:t>
            </w:r>
            <w:r>
              <w:rPr>
                <w:rFonts w:hint="eastAsia" w:ascii="仿宋" w:hAnsi="仿宋" w:eastAsia="仿宋" w:cs="宋体"/>
                <w:sz w:val="21"/>
                <w:szCs w:val="24"/>
              </w:rPr>
              <w:t>全文发表或全文收录</w:t>
            </w:r>
          </w:p>
        </w:tc>
        <w:tc>
          <w:tcPr>
            <w:tcW w:w="33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5分</w:t>
            </w: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498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  <w:tc>
          <w:tcPr>
            <w:tcW w:w="48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sz w:val="21"/>
                <w:szCs w:val="24"/>
              </w:rPr>
            </w:pPr>
            <w:r>
              <w:rPr>
                <w:rFonts w:hint="eastAsia" w:ascii="仿宋" w:hAnsi="仿宋" w:eastAsia="仿宋" w:cs="宋体"/>
                <w:sz w:val="21"/>
                <w:szCs w:val="24"/>
              </w:rPr>
              <w:t>EI、CSCD（C库）、CSSCI</w:t>
            </w:r>
            <w:r>
              <w:rPr>
                <w:rFonts w:ascii="仿宋" w:hAnsi="仿宋" w:eastAsia="仿宋" w:cs="宋体"/>
                <w:sz w:val="21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sz w:val="21"/>
                <w:szCs w:val="24"/>
              </w:rPr>
              <w:t>；</w:t>
            </w:r>
          </w:p>
          <w:p>
            <w:pPr>
              <w:rPr>
                <w:rFonts w:ascii="仿宋" w:hAnsi="仿宋" w:eastAsia="仿宋" w:cs="宋体"/>
                <w:sz w:val="21"/>
                <w:szCs w:val="24"/>
              </w:rPr>
            </w:pPr>
            <w:r>
              <w:rPr>
                <w:rFonts w:hint="eastAsia" w:ascii="仿宋" w:hAnsi="仿宋" w:eastAsia="仿宋" w:cs="宋体"/>
                <w:sz w:val="21"/>
                <w:szCs w:val="24"/>
              </w:rPr>
              <w:t>《内蒙古大学学报》（哲社蒙文版）、</w:t>
            </w:r>
          </w:p>
          <w:p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4"/>
              </w:rPr>
              <w:t>《内蒙古社会科学》（蒙文版）、《中国蒙医药》</w:t>
            </w:r>
          </w:p>
        </w:tc>
        <w:tc>
          <w:tcPr>
            <w:tcW w:w="33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3分</w:t>
            </w: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498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  <w:tc>
          <w:tcPr>
            <w:tcW w:w="48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sz w:val="21"/>
                <w:szCs w:val="24"/>
              </w:rPr>
            </w:pPr>
            <w:r>
              <w:rPr>
                <w:rFonts w:hint="eastAsia" w:ascii="仿宋" w:hAnsi="仿宋" w:eastAsia="仿宋" w:cs="宋体"/>
                <w:sz w:val="21"/>
                <w:szCs w:val="24"/>
              </w:rPr>
              <w:t>CSCD（E库）、CSSCI扩展库、《全国中文核心期刊要目总览》（北京大学出版社2017版）指定刊物上发表的论文；</w:t>
            </w:r>
          </w:p>
          <w:p>
            <w:pPr>
              <w:jc w:val="left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4"/>
              </w:rPr>
              <w:t>《中国蒙古学》、《内蒙古师范大学学报》（自科/哲社蒙文版）、《内蒙古民族大学学报》（蒙医药版）、《蒙古国国立大学学术期刊》、《蒙古国国立教育大学学术期刊》</w:t>
            </w:r>
          </w:p>
        </w:tc>
        <w:tc>
          <w:tcPr>
            <w:tcW w:w="33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2分</w:t>
            </w: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498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  <w:tc>
          <w:tcPr>
            <w:tcW w:w="48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CPCI-S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</w:rPr>
              <w:t>CPCI-SSH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</w:rPr>
              <w:t>ISTP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收录的论文</w:t>
            </w:r>
          </w:p>
        </w:tc>
        <w:tc>
          <w:tcPr>
            <w:tcW w:w="33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 w:cs="宋体"/>
                <w:sz w:val="21"/>
                <w:szCs w:val="21"/>
              </w:rPr>
              <w:t>0.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3分</w:t>
            </w: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498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  <w:tc>
          <w:tcPr>
            <w:tcW w:w="48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E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类期刊（包含蒙文E类期刊）</w:t>
            </w:r>
          </w:p>
        </w:tc>
        <w:tc>
          <w:tcPr>
            <w:tcW w:w="33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 w:cs="宋体"/>
                <w:sz w:val="21"/>
                <w:szCs w:val="21"/>
              </w:rPr>
              <w:t>0.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2分</w:t>
            </w: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498" w:type="dxa"/>
            <w:vMerge w:val="restart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科研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项</w:t>
            </w:r>
            <w:r>
              <w:rPr>
                <w:rFonts w:ascii="仿宋" w:hAnsi="仿宋" w:eastAsia="仿宋"/>
                <w:sz w:val="21"/>
                <w:szCs w:val="21"/>
              </w:rPr>
              <w:t>目</w:t>
            </w:r>
          </w:p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（30分）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项</w:t>
            </w:r>
            <w:r>
              <w:rPr>
                <w:rFonts w:ascii="仿宋" w:hAnsi="仿宋" w:eastAsia="仿宋"/>
                <w:sz w:val="21"/>
                <w:szCs w:val="21"/>
              </w:rPr>
              <w:t>目</w:t>
            </w:r>
          </w:p>
        </w:tc>
        <w:tc>
          <w:tcPr>
            <w:tcW w:w="31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主持人</w:t>
            </w:r>
          </w:p>
        </w:tc>
        <w:tc>
          <w:tcPr>
            <w:tcW w:w="33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参与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人（含主持人）</w:t>
            </w:r>
          </w:p>
        </w:tc>
        <w:tc>
          <w:tcPr>
            <w:tcW w:w="867" w:type="dxa"/>
            <w:vMerge w:val="restart"/>
            <w:tcBorders>
              <w:top w:val="single" w:color="auto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sz w:val="21"/>
              </w:rPr>
              <w:t>30分</w:t>
            </w:r>
          </w:p>
        </w:tc>
        <w:tc>
          <w:tcPr>
            <w:tcW w:w="1767" w:type="dxa"/>
            <w:vMerge w:val="restart"/>
            <w:tcBorders>
              <w:top w:val="single" w:color="auto" w:sz="4" w:space="0"/>
              <w:left w:val="single" w:color="auto" w:sz="6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科技处审核</w:t>
            </w:r>
          </w:p>
          <w:p>
            <w:pPr>
              <w:rPr>
                <w:rFonts w:ascii="宋体" w:eastAsiaTheme="minorEastAsia"/>
                <w:spacing w:val="-6"/>
                <w:sz w:val="21"/>
                <w:szCs w:val="21"/>
              </w:rPr>
            </w:pPr>
          </w:p>
          <w:p>
            <w:pPr>
              <w:rPr>
                <w:rFonts w:ascii="??" w:hAnsi="??" w:cs="??" w:eastAsiaTheme="minorEastAsia"/>
                <w:spacing w:val="-6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498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国家重大</w:t>
            </w:r>
          </w:p>
        </w:tc>
        <w:tc>
          <w:tcPr>
            <w:tcW w:w="31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</w:t>
            </w:r>
            <w:r>
              <w:rPr>
                <w:rFonts w:ascii="仿宋" w:hAnsi="仿宋" w:eastAsia="仿宋"/>
                <w:sz w:val="21"/>
                <w:szCs w:val="21"/>
              </w:rPr>
              <w:t>分</w:t>
            </w:r>
          </w:p>
        </w:tc>
        <w:tc>
          <w:tcPr>
            <w:tcW w:w="3349" w:type="dxa"/>
            <w:gridSpan w:val="2"/>
            <w:tcBorders>
              <w:top w:val="single" w:color="000000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前5名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（含主持人）</w:t>
            </w:r>
            <w:r>
              <w:rPr>
                <w:rFonts w:ascii="仿宋" w:hAnsi="仿宋" w:eastAsia="仿宋"/>
                <w:sz w:val="21"/>
                <w:szCs w:val="21"/>
              </w:rPr>
              <w:t>2分</w:t>
            </w: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498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国家重点</w:t>
            </w:r>
          </w:p>
        </w:tc>
        <w:tc>
          <w:tcPr>
            <w:tcW w:w="31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20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分</w:t>
            </w:r>
          </w:p>
        </w:tc>
        <w:tc>
          <w:tcPr>
            <w:tcW w:w="334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前5名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（含主持人）</w:t>
            </w:r>
            <w:r>
              <w:rPr>
                <w:rFonts w:ascii="仿宋" w:hAnsi="仿宋" w:eastAsia="仿宋"/>
                <w:sz w:val="21"/>
                <w:szCs w:val="21"/>
              </w:rPr>
              <w:t>2分</w:t>
            </w: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498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国家一般</w:t>
            </w:r>
          </w:p>
        </w:tc>
        <w:tc>
          <w:tcPr>
            <w:tcW w:w="31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9</w:t>
            </w:r>
            <w:r>
              <w:rPr>
                <w:rFonts w:ascii="仿宋" w:hAnsi="仿宋" w:eastAsia="仿宋"/>
                <w:sz w:val="21"/>
                <w:szCs w:val="21"/>
              </w:rPr>
              <w:t>分</w:t>
            </w:r>
          </w:p>
        </w:tc>
        <w:tc>
          <w:tcPr>
            <w:tcW w:w="3349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前5名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（含主持人）1.5分</w:t>
            </w: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498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部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级</w:t>
            </w:r>
            <w:r>
              <w:rPr>
                <w:rFonts w:ascii="仿宋" w:hAnsi="仿宋" w:eastAsia="仿宋"/>
                <w:sz w:val="21"/>
                <w:szCs w:val="21"/>
              </w:rPr>
              <w:t>重大</w:t>
            </w:r>
          </w:p>
        </w:tc>
        <w:tc>
          <w:tcPr>
            <w:tcW w:w="31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6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分</w:t>
            </w:r>
          </w:p>
        </w:tc>
        <w:tc>
          <w:tcPr>
            <w:tcW w:w="3349" w:type="dxa"/>
            <w:gridSpan w:val="2"/>
            <w:tcBorders>
              <w:top w:val="single" w:color="000000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前5名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（含主持人）1.5分</w:t>
            </w: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498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部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级</w:t>
            </w:r>
            <w:r>
              <w:rPr>
                <w:rFonts w:ascii="仿宋" w:hAnsi="仿宋" w:eastAsia="仿宋"/>
                <w:sz w:val="21"/>
                <w:szCs w:val="21"/>
              </w:rPr>
              <w:t>重点</w:t>
            </w:r>
          </w:p>
        </w:tc>
        <w:tc>
          <w:tcPr>
            <w:tcW w:w="31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14</w:t>
            </w:r>
            <w:r>
              <w:rPr>
                <w:rFonts w:ascii="仿宋" w:hAnsi="仿宋" w:eastAsia="仿宋"/>
                <w:sz w:val="21"/>
                <w:szCs w:val="21"/>
              </w:rPr>
              <w:t>分</w:t>
            </w:r>
          </w:p>
        </w:tc>
        <w:tc>
          <w:tcPr>
            <w:tcW w:w="334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前5名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（含主持人）1.5分</w:t>
            </w: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498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部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级</w:t>
            </w:r>
            <w:r>
              <w:rPr>
                <w:rFonts w:ascii="仿宋" w:hAnsi="仿宋" w:eastAsia="仿宋"/>
                <w:sz w:val="21"/>
                <w:szCs w:val="21"/>
              </w:rPr>
              <w:t>一般</w:t>
            </w:r>
          </w:p>
        </w:tc>
        <w:tc>
          <w:tcPr>
            <w:tcW w:w="3121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10</w:t>
            </w:r>
            <w:r>
              <w:rPr>
                <w:rFonts w:ascii="仿宋" w:hAnsi="仿宋" w:eastAsia="仿宋"/>
                <w:sz w:val="21"/>
                <w:szCs w:val="21"/>
              </w:rPr>
              <w:t>分</w:t>
            </w:r>
          </w:p>
        </w:tc>
        <w:tc>
          <w:tcPr>
            <w:tcW w:w="3349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前</w:t>
            </w:r>
            <w:r>
              <w:rPr>
                <w:rFonts w:ascii="仿宋" w:hAnsi="仿宋" w:eastAsia="仿宋"/>
                <w:sz w:val="21"/>
                <w:szCs w:val="21"/>
              </w:rPr>
              <w:t>5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名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（含主持人）1分</w:t>
            </w: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498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省级重大</w:t>
            </w:r>
          </w:p>
        </w:tc>
        <w:tc>
          <w:tcPr>
            <w:tcW w:w="3121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10分</w:t>
            </w:r>
          </w:p>
        </w:tc>
        <w:tc>
          <w:tcPr>
            <w:tcW w:w="3349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前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3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名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（含主持人）1分</w:t>
            </w: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498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省级重点</w:t>
            </w:r>
          </w:p>
        </w:tc>
        <w:tc>
          <w:tcPr>
            <w:tcW w:w="3121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8分</w:t>
            </w:r>
          </w:p>
        </w:tc>
        <w:tc>
          <w:tcPr>
            <w:tcW w:w="3349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前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3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名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（含主持人）1分</w:t>
            </w: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498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省级一般</w:t>
            </w:r>
          </w:p>
        </w:tc>
        <w:tc>
          <w:tcPr>
            <w:tcW w:w="3121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6分</w:t>
            </w:r>
          </w:p>
        </w:tc>
        <w:tc>
          <w:tcPr>
            <w:tcW w:w="3349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前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3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名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（含主持人）0.5分</w:t>
            </w: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498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市级</w:t>
            </w:r>
          </w:p>
        </w:tc>
        <w:tc>
          <w:tcPr>
            <w:tcW w:w="31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1分（上限3分）</w:t>
            </w:r>
          </w:p>
        </w:tc>
        <w:tc>
          <w:tcPr>
            <w:tcW w:w="3349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498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校级</w:t>
            </w:r>
          </w:p>
        </w:tc>
        <w:tc>
          <w:tcPr>
            <w:tcW w:w="31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0.5分（上限1分）</w:t>
            </w:r>
          </w:p>
        </w:tc>
        <w:tc>
          <w:tcPr>
            <w:tcW w:w="3349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498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横向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课题</w:t>
            </w:r>
          </w:p>
        </w:tc>
        <w:tc>
          <w:tcPr>
            <w:tcW w:w="31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pacing w:val="-2"/>
                <w:sz w:val="18"/>
                <w:szCs w:val="18"/>
              </w:rPr>
            </w:pPr>
            <w:r>
              <w:rPr>
                <w:rFonts w:ascii="仿宋" w:hAnsi="仿宋" w:eastAsia="仿宋"/>
                <w:spacing w:val="-2"/>
                <w:sz w:val="18"/>
                <w:szCs w:val="18"/>
              </w:rPr>
              <w:t>每10万</w:t>
            </w:r>
            <w:r>
              <w:rPr>
                <w:rFonts w:hint="eastAsia" w:ascii="仿宋" w:hAnsi="仿宋" w:eastAsia="仿宋"/>
                <w:spacing w:val="-2"/>
                <w:sz w:val="18"/>
                <w:szCs w:val="18"/>
              </w:rPr>
              <w:t>元</w:t>
            </w:r>
            <w:r>
              <w:rPr>
                <w:rFonts w:hint="eastAsia" w:ascii="仿宋" w:hAnsi="仿宋" w:eastAsia="仿宋" w:cs="宋体"/>
                <w:spacing w:val="-2"/>
                <w:sz w:val="18"/>
                <w:szCs w:val="18"/>
              </w:rPr>
              <w:t>计</w:t>
            </w:r>
            <w:r>
              <w:rPr>
                <w:rFonts w:ascii="仿宋" w:hAnsi="仿宋" w:eastAsia="仿宋"/>
                <w:spacing w:val="-2"/>
                <w:sz w:val="18"/>
                <w:szCs w:val="18"/>
              </w:rPr>
              <w:t>1分</w:t>
            </w:r>
            <w:r>
              <w:rPr>
                <w:rFonts w:hint="eastAsia" w:ascii="仿宋" w:hAnsi="仿宋" w:eastAsia="仿宋"/>
                <w:spacing w:val="-2"/>
                <w:sz w:val="18"/>
                <w:szCs w:val="18"/>
              </w:rPr>
              <w:t>（总计不超过6分）</w:t>
            </w:r>
          </w:p>
        </w:tc>
        <w:tc>
          <w:tcPr>
            <w:tcW w:w="3349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49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出版物</w:t>
            </w:r>
          </w:p>
          <w:p>
            <w:pPr>
              <w:jc w:val="center"/>
              <w:rPr>
                <w:rFonts w:ascii="宋体" w:eastAsia="Times New Roman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（8分）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eastAsia="Times New Roman"/>
                <w:sz w:val="21"/>
                <w:szCs w:val="21"/>
              </w:rPr>
            </w:pPr>
          </w:p>
        </w:tc>
        <w:tc>
          <w:tcPr>
            <w:tcW w:w="3121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独著或独立编写</w:t>
            </w:r>
          </w:p>
        </w:tc>
        <w:tc>
          <w:tcPr>
            <w:tcW w:w="3349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合著或合编</w:t>
            </w:r>
          </w:p>
        </w:tc>
        <w:tc>
          <w:tcPr>
            <w:tcW w:w="867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8分</w:t>
            </w:r>
          </w:p>
        </w:tc>
        <w:tc>
          <w:tcPr>
            <w:tcW w:w="1767" w:type="dxa"/>
            <w:vMerge w:val="restart"/>
            <w:tcBorders>
              <w:top w:val="single" w:color="auto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49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专著</w:t>
            </w:r>
          </w:p>
        </w:tc>
        <w:tc>
          <w:tcPr>
            <w:tcW w:w="312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hint="eastAsia" w:eastAsiaTheme="minorEastAsia"/>
                <w:sz w:val="21"/>
                <w:szCs w:val="21"/>
              </w:rPr>
              <w:t>5分</w:t>
            </w:r>
          </w:p>
        </w:tc>
        <w:tc>
          <w:tcPr>
            <w:tcW w:w="3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1"/>
                <w:szCs w:val="18"/>
              </w:rPr>
            </w:pPr>
            <w:r>
              <w:rPr>
                <w:rFonts w:hint="eastAsia" w:ascii="仿宋" w:hAnsi="仿宋" w:eastAsia="仿宋"/>
                <w:sz w:val="21"/>
                <w:szCs w:val="18"/>
              </w:rPr>
              <w:t>第一著者:3分;第二著者:2分;</w:t>
            </w:r>
          </w:p>
          <w:p>
            <w:pPr>
              <w:rPr>
                <w:rFonts w:ascii="仿宋" w:hAnsi="仿宋" w:eastAsia="仿宋"/>
                <w:sz w:val="21"/>
                <w:szCs w:val="18"/>
              </w:rPr>
            </w:pPr>
            <w:r>
              <w:rPr>
                <w:rFonts w:hint="eastAsia" w:ascii="仿宋" w:hAnsi="仿宋" w:eastAsia="仿宋"/>
                <w:sz w:val="21"/>
                <w:szCs w:val="18"/>
              </w:rPr>
              <w:t>第三著者:1分;其他著者:0.5分;</w:t>
            </w:r>
          </w:p>
        </w:tc>
        <w:tc>
          <w:tcPr>
            <w:tcW w:w="8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49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教材</w:t>
            </w:r>
          </w:p>
        </w:tc>
        <w:tc>
          <w:tcPr>
            <w:tcW w:w="312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4分</w:t>
            </w:r>
          </w:p>
        </w:tc>
        <w:tc>
          <w:tcPr>
            <w:tcW w:w="3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1"/>
                <w:szCs w:val="18"/>
              </w:rPr>
            </w:pPr>
            <w:r>
              <w:rPr>
                <w:rFonts w:hint="eastAsia" w:ascii="仿宋" w:hAnsi="仿宋" w:eastAsia="仿宋"/>
                <w:sz w:val="21"/>
                <w:szCs w:val="18"/>
              </w:rPr>
              <w:t>第一编者:3分;第二编者:2分;</w:t>
            </w:r>
          </w:p>
          <w:p>
            <w:pPr>
              <w:rPr>
                <w:sz w:val="21"/>
              </w:rPr>
            </w:pPr>
            <w:r>
              <w:rPr>
                <w:rFonts w:hint="eastAsia" w:ascii="仿宋" w:hAnsi="仿宋" w:eastAsia="仿宋"/>
                <w:sz w:val="21"/>
                <w:szCs w:val="18"/>
              </w:rPr>
              <w:t>第三编者:1分;其他编者:0.5分;</w:t>
            </w:r>
          </w:p>
        </w:tc>
        <w:tc>
          <w:tcPr>
            <w:tcW w:w="8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498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编著</w:t>
            </w:r>
          </w:p>
        </w:tc>
        <w:tc>
          <w:tcPr>
            <w:tcW w:w="312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2分</w:t>
            </w:r>
          </w:p>
        </w:tc>
        <w:tc>
          <w:tcPr>
            <w:tcW w:w="3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1"/>
                <w:szCs w:val="18"/>
              </w:rPr>
            </w:pPr>
            <w:r>
              <w:rPr>
                <w:rFonts w:hint="eastAsia" w:ascii="仿宋" w:hAnsi="仿宋" w:eastAsia="仿宋"/>
                <w:sz w:val="21"/>
                <w:szCs w:val="18"/>
              </w:rPr>
              <w:t>第一编者:1分;第二编者:0.5分</w:t>
            </w:r>
          </w:p>
          <w:p>
            <w:pPr>
              <w:rPr>
                <w:rFonts w:ascii="仿宋" w:hAnsi="仿宋" w:eastAsia="仿宋"/>
                <w:spacing w:val="-2"/>
                <w:sz w:val="21"/>
                <w:szCs w:val="18"/>
              </w:rPr>
            </w:pPr>
            <w:r>
              <w:rPr>
                <w:rFonts w:hint="eastAsia" w:ascii="仿宋" w:hAnsi="仿宋" w:eastAsia="仿宋"/>
                <w:spacing w:val="-2"/>
                <w:sz w:val="21"/>
                <w:szCs w:val="18"/>
              </w:rPr>
              <w:t>第三编者:0.3分;其他编者:0.2分</w:t>
            </w:r>
          </w:p>
        </w:tc>
        <w:tc>
          <w:tcPr>
            <w:tcW w:w="867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795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科研</w:t>
            </w:r>
          </w:p>
        </w:tc>
        <w:tc>
          <w:tcPr>
            <w:tcW w:w="14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专</w:t>
            </w:r>
            <w:r>
              <w:rPr>
                <w:rFonts w:ascii="仿宋" w:hAnsi="仿宋" w:eastAsia="仿宋"/>
                <w:sz w:val="21"/>
                <w:szCs w:val="21"/>
              </w:rPr>
              <w:t>利</w:t>
            </w:r>
          </w:p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（7分）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国家发明专利</w:t>
            </w:r>
          </w:p>
        </w:tc>
        <w:tc>
          <w:tcPr>
            <w:tcW w:w="6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 xml:space="preserve">发明人排名第一：4分，排名第二：1分；        </w:t>
            </w:r>
          </w:p>
        </w:tc>
        <w:tc>
          <w:tcPr>
            <w:tcW w:w="8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7分</w:t>
            </w:r>
          </w:p>
        </w:tc>
        <w:tc>
          <w:tcPr>
            <w:tcW w:w="17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1"/>
                <w:szCs w:val="21"/>
                <w:highlight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宋体"/>
                <w:sz w:val="21"/>
                <w:szCs w:val="21"/>
                <w:highlight w:val="none"/>
                <w:lang w:val="en-US" w:eastAsia="zh-CN"/>
              </w:rPr>
              <w:t>成果转化</w:t>
            </w:r>
          </w:p>
          <w:p>
            <w:pPr>
              <w:jc w:val="center"/>
              <w:rPr>
                <w:rFonts w:hint="eastAsia" w:ascii="仿宋" w:hAnsi="仿宋" w:eastAsia="仿宋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  <w:highlight w:val="none"/>
                <w:lang w:val="en-US" w:eastAsia="zh-CN"/>
              </w:rPr>
              <w:t xml:space="preserve">技术转移     </w:t>
            </w:r>
          </w:p>
          <w:p>
            <w:pPr>
              <w:jc w:val="center"/>
              <w:rPr>
                <w:rFonts w:hint="eastAsia" w:ascii="仿宋" w:hAnsi="仿宋" w:eastAsia="仿宋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  <w:highlight w:val="none"/>
                <w:lang w:val="en-US" w:eastAsia="zh-CN"/>
              </w:rPr>
              <w:t>科技处审核</w:t>
            </w:r>
          </w:p>
          <w:p>
            <w:pPr>
              <w:jc w:val="center"/>
              <w:rPr>
                <w:rFonts w:hint="default" w:ascii="仿宋" w:hAnsi="仿宋" w:eastAsia="仿宋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  <w:highlight w:val="none"/>
                <w:lang w:val="en-US" w:eastAsia="zh-CN"/>
              </w:rPr>
              <w:t>（7分）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79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9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实用新型专利</w:t>
            </w:r>
          </w:p>
        </w:tc>
        <w:tc>
          <w:tcPr>
            <w:tcW w:w="6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发明人排名第一：1分；</w:t>
            </w:r>
          </w:p>
        </w:tc>
        <w:tc>
          <w:tcPr>
            <w:tcW w:w="8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79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9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外观设计专利</w:t>
            </w:r>
          </w:p>
        </w:tc>
        <w:tc>
          <w:tcPr>
            <w:tcW w:w="6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 xml:space="preserve">发明人排名第一：0.5分 ； </w:t>
            </w:r>
          </w:p>
        </w:tc>
        <w:tc>
          <w:tcPr>
            <w:tcW w:w="8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79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9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仿宋" w:hAnsi="仿宋" w:eastAsia="仿宋" w:cs="宋体"/>
                <w:spacing w:val="-8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pacing w:val="-8"/>
                <w:sz w:val="21"/>
                <w:szCs w:val="21"/>
              </w:rPr>
              <w:t>计算机软件著作权</w:t>
            </w:r>
          </w:p>
        </w:tc>
        <w:tc>
          <w:tcPr>
            <w:tcW w:w="6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发明人排名第一：0.5分；</w:t>
            </w:r>
          </w:p>
        </w:tc>
        <w:tc>
          <w:tcPr>
            <w:tcW w:w="8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79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9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仿宋" w:hAnsi="仿宋" w:eastAsia="仿宋" w:cs="宋体"/>
                <w:spacing w:val="-8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pacing w:val="-8"/>
                <w:sz w:val="21"/>
                <w:szCs w:val="21"/>
              </w:rPr>
              <w:t>新产品</w:t>
            </w:r>
          </w:p>
        </w:tc>
        <w:tc>
          <w:tcPr>
            <w:tcW w:w="6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国家级，排名前5（含主持人）依次计7、6、5、4、3分</w:t>
            </w:r>
          </w:p>
          <w:p>
            <w:pPr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省部级，排名前4（含主持人）依次计6、5、4、3分</w:t>
            </w:r>
          </w:p>
          <w:p>
            <w:pPr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地市级，排名前3（含主持人）依次计4、3、2分</w:t>
            </w:r>
          </w:p>
        </w:tc>
        <w:tc>
          <w:tcPr>
            <w:tcW w:w="8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79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仿宋" w:hAnsi="仿宋" w:eastAsia="仿宋" w:cs="宋体"/>
                <w:spacing w:val="-8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pacing w:val="-8"/>
                <w:sz w:val="21"/>
                <w:szCs w:val="21"/>
              </w:rPr>
              <w:t>新技术/工艺</w:t>
            </w:r>
          </w:p>
        </w:tc>
        <w:tc>
          <w:tcPr>
            <w:tcW w:w="6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国家级，排名前5（含主持人）依次计6、5、4、3、2分</w:t>
            </w:r>
          </w:p>
          <w:p>
            <w:pPr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省部级，排名前4（含主持人）依次计5、4、3、2分</w:t>
            </w:r>
          </w:p>
          <w:p>
            <w:pPr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地市级，排名前3（含主持人）依次计3、2、1分</w:t>
            </w:r>
          </w:p>
        </w:tc>
        <w:tc>
          <w:tcPr>
            <w:tcW w:w="8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994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 w:ascii="方正粗宋简体" w:eastAsia="方正粗宋简体"/>
                <w:sz w:val="28"/>
                <w:szCs w:val="21"/>
              </w:rPr>
              <w:t>服务地方（5分）</w:t>
            </w:r>
          </w:p>
        </w:tc>
        <w:tc>
          <w:tcPr>
            <w:tcW w:w="6470" w:type="dxa"/>
            <w:gridSpan w:val="4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spacing w:val="-2"/>
                <w:sz w:val="21"/>
                <w:szCs w:val="21"/>
              </w:rPr>
            </w:pPr>
            <w:r>
              <w:rPr>
                <w:rFonts w:ascii="仿宋" w:hAnsi="仿宋" w:eastAsia="仿宋" w:cs="宋体"/>
                <w:spacing w:val="-2"/>
                <w:sz w:val="21"/>
                <w:szCs w:val="21"/>
              </w:rPr>
              <w:t>在科研成果转化、科学技术推广方面取得重大成果，具有显著的经济效益（须附盟市级以上</w:t>
            </w:r>
            <w:r>
              <w:rPr>
                <w:rFonts w:hint="eastAsia" w:ascii="仿宋" w:hAnsi="仿宋" w:eastAsia="仿宋" w:cs="宋体"/>
                <w:spacing w:val="-2"/>
                <w:sz w:val="21"/>
                <w:szCs w:val="21"/>
              </w:rPr>
              <w:t>政府评价和采纳证明及税务部门</w:t>
            </w:r>
            <w:r>
              <w:rPr>
                <w:rFonts w:ascii="仿宋" w:hAnsi="仿宋" w:eastAsia="仿宋" w:cs="宋体"/>
                <w:spacing w:val="-2"/>
                <w:sz w:val="21"/>
                <w:szCs w:val="21"/>
              </w:rPr>
              <w:t>的证明材料）</w:t>
            </w:r>
            <w:r>
              <w:rPr>
                <w:rFonts w:hint="eastAsia" w:ascii="仿宋" w:hAnsi="仿宋" w:eastAsia="仿宋" w:cs="宋体"/>
                <w:spacing w:val="-2"/>
                <w:sz w:val="21"/>
                <w:szCs w:val="21"/>
              </w:rPr>
              <w:t>，累计经济效益每100万元计1分，总计不超过5分。</w:t>
            </w:r>
          </w:p>
          <w:p>
            <w:pPr>
              <w:jc w:val="left"/>
              <w:rPr>
                <w:rFonts w:ascii="仿宋" w:hAnsi="仿宋" w:eastAsia="仿宋" w:cs="宋体"/>
                <w:spacing w:val="-2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pacing w:val="-2"/>
                <w:sz w:val="21"/>
                <w:szCs w:val="21"/>
              </w:rPr>
              <w:t>三区人才、科技特派等，每人每年度计1分，总计不超过5分。</w:t>
            </w:r>
          </w:p>
          <w:p>
            <w:pPr>
              <w:pageBreakBefore/>
              <w:jc w:val="left"/>
              <w:rPr>
                <w:spacing w:val="-2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pacing w:val="-2"/>
                <w:sz w:val="21"/>
                <w:szCs w:val="21"/>
              </w:rPr>
              <w:t>作为主要完成人（前三名）,研究报告分以下要素评分：获得党和国家领导人批示的，计5分；被全国性法律、法规和制度、政策制定采纳的，计4分；获得省部级主要领导批示的，计3分；被国家部委、行业、省（市）、自治区党委政府制度与政策制定采纳的，计3分；获得省部级其他领导、副省级城市主要领导批示的，计2分；被副省级、地市级党委政府政策制定部门以及地方性法规采纳的，计1分</w:t>
            </w:r>
            <w:r>
              <w:rPr>
                <w:rFonts w:hint="eastAsia" w:ascii="宋体" w:hAnsi="宋体" w:cs="宋体"/>
                <w:spacing w:val="-2"/>
                <w:sz w:val="21"/>
                <w:szCs w:val="21"/>
              </w:rPr>
              <w:t>。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5分</w:t>
            </w:r>
          </w:p>
        </w:tc>
        <w:tc>
          <w:tcPr>
            <w:tcW w:w="1767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2293" w:type="dxa"/>
            <w:gridSpan w:val="2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方正粗宋简体" w:eastAsia="方正粗宋简体"/>
                <w:sz w:val="28"/>
                <w:szCs w:val="21"/>
              </w:rPr>
            </w:pPr>
            <w:r>
              <w:rPr>
                <w:rFonts w:hint="eastAsia" w:ascii="方正粗宋简体" w:eastAsia="方正粗宋简体"/>
                <w:sz w:val="28"/>
                <w:szCs w:val="21"/>
              </w:rPr>
              <w:t>表彰</w:t>
            </w:r>
            <w:r>
              <w:rPr>
                <w:rFonts w:hint="eastAsia" w:ascii="方正粗宋简体" w:hAnsi="宋体" w:eastAsia="方正粗宋简体" w:cs="宋体"/>
                <w:sz w:val="28"/>
                <w:szCs w:val="21"/>
              </w:rPr>
              <w:t>奖</w:t>
            </w:r>
            <w:r>
              <w:rPr>
                <w:rFonts w:hint="eastAsia" w:ascii="方正粗宋简体" w:eastAsia="方正粗宋简体"/>
                <w:sz w:val="28"/>
                <w:szCs w:val="21"/>
              </w:rPr>
              <w:t>励</w:t>
            </w:r>
          </w:p>
          <w:p>
            <w:pPr>
              <w:jc w:val="center"/>
              <w:rPr>
                <w:rFonts w:ascii="宋体" w:eastAsiaTheme="minorEastAsia"/>
                <w:sz w:val="21"/>
                <w:szCs w:val="21"/>
              </w:rPr>
            </w:pPr>
            <w:r>
              <w:rPr>
                <w:rFonts w:hint="eastAsia" w:ascii="方正粗宋简体" w:eastAsia="方正粗宋简体"/>
                <w:sz w:val="28"/>
                <w:szCs w:val="21"/>
              </w:rPr>
              <w:t>（15分）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教学成果、科研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获奖</w:t>
            </w:r>
            <w:r>
              <w:rPr>
                <w:rFonts w:ascii="仿宋" w:hAnsi="仿宋" w:eastAsia="仿宋"/>
                <w:sz w:val="21"/>
                <w:szCs w:val="21"/>
              </w:rPr>
              <w:t>（以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获奖证书为</w:t>
            </w:r>
            <w:r>
              <w:rPr>
                <w:rFonts w:ascii="仿宋" w:hAnsi="仿宋" w:eastAsia="仿宋"/>
                <w:sz w:val="21"/>
                <w:szCs w:val="21"/>
              </w:rPr>
              <w:t>准，同一内容多次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获奖</w:t>
            </w:r>
            <w:r>
              <w:rPr>
                <w:rFonts w:ascii="仿宋" w:hAnsi="仿宋" w:eastAsia="仿宋"/>
                <w:sz w:val="21"/>
                <w:szCs w:val="21"/>
              </w:rPr>
              <w:t>，只量化最高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奖项</w:t>
            </w:r>
            <w:r>
              <w:rPr>
                <w:rFonts w:ascii="仿宋" w:hAnsi="仿宋" w:eastAsia="仿宋"/>
                <w:sz w:val="21"/>
                <w:szCs w:val="21"/>
              </w:rPr>
              <w:t>。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励类别包括自然科学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、技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术发</w:t>
            </w:r>
            <w:r>
              <w:rPr>
                <w:rFonts w:ascii="仿宋" w:hAnsi="仿宋" w:eastAsia="仿宋"/>
                <w:sz w:val="21"/>
                <w:szCs w:val="21"/>
              </w:rPr>
              <w:t>明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、科技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进</w:t>
            </w:r>
            <w:r>
              <w:rPr>
                <w:rFonts w:ascii="仿宋" w:hAnsi="仿宋" w:eastAsia="仿宋"/>
                <w:sz w:val="21"/>
                <w:szCs w:val="21"/>
              </w:rPr>
              <w:t>步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、社科成果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、教学成果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、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课</w:t>
            </w:r>
            <w:r>
              <w:rPr>
                <w:rFonts w:ascii="仿宋" w:hAnsi="仿宋" w:eastAsia="仿宋"/>
                <w:sz w:val="21"/>
                <w:szCs w:val="21"/>
              </w:rPr>
              <w:t>堂技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艺</w:t>
            </w:r>
            <w:r>
              <w:rPr>
                <w:rFonts w:ascii="仿宋" w:hAnsi="仿宋" w:eastAsia="仿宋"/>
                <w:sz w:val="21"/>
                <w:szCs w:val="21"/>
              </w:rPr>
              <w:t>大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赛奖</w:t>
            </w:r>
            <w:r>
              <w:rPr>
                <w:rFonts w:ascii="仿宋" w:hAnsi="仿宋" w:eastAsia="仿宋"/>
                <w:sz w:val="21"/>
                <w:szCs w:val="21"/>
              </w:rPr>
              <w:t>等。）</w:t>
            </w:r>
          </w:p>
        </w:tc>
        <w:tc>
          <w:tcPr>
            <w:tcW w:w="6470" w:type="dxa"/>
            <w:gridSpan w:val="4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国家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级</w:t>
            </w:r>
            <w:r>
              <w:rPr>
                <w:rFonts w:ascii="仿宋" w:hAnsi="仿宋" w:eastAsia="仿宋"/>
                <w:sz w:val="21"/>
                <w:szCs w:val="21"/>
              </w:rPr>
              <w:t>：一等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10分，二等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8分，三等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6分；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优秀奖4分</w:t>
            </w:r>
          </w:p>
          <w:p>
            <w:pPr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省部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级</w:t>
            </w:r>
            <w:r>
              <w:rPr>
                <w:rFonts w:ascii="仿宋" w:hAnsi="仿宋" w:eastAsia="仿宋"/>
                <w:sz w:val="21"/>
                <w:szCs w:val="21"/>
              </w:rPr>
              <w:t>：一等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6分，二等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4分，三等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2分；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优秀奖2分</w:t>
            </w:r>
          </w:p>
          <w:p>
            <w:pPr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厅</w:t>
            </w:r>
            <w:r>
              <w:rPr>
                <w:rFonts w:ascii="仿宋" w:hAnsi="仿宋" w:eastAsia="仿宋"/>
                <w:sz w:val="21"/>
                <w:szCs w:val="21"/>
              </w:rPr>
              <w:t>、校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级</w:t>
            </w:r>
            <w:r>
              <w:rPr>
                <w:rFonts w:ascii="仿宋" w:hAnsi="仿宋" w:eastAsia="仿宋"/>
                <w:sz w:val="21"/>
                <w:szCs w:val="21"/>
              </w:rPr>
              <w:t>：一等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1分；二等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0.5分</w:t>
            </w:r>
          </w:p>
          <w:p>
            <w:pPr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优</w:t>
            </w:r>
            <w:r>
              <w:rPr>
                <w:rFonts w:ascii="仿宋" w:hAnsi="仿宋" w:eastAsia="仿宋"/>
                <w:sz w:val="21"/>
                <w:szCs w:val="21"/>
              </w:rPr>
              <w:t>秀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不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计</w:t>
            </w:r>
            <w:r>
              <w:rPr>
                <w:rFonts w:ascii="仿宋" w:hAnsi="仿宋" w:eastAsia="仿宋"/>
                <w:sz w:val="21"/>
                <w:szCs w:val="21"/>
              </w:rPr>
              <w:t>分。</w:t>
            </w:r>
          </w:p>
        </w:tc>
        <w:tc>
          <w:tcPr>
            <w:tcW w:w="867" w:type="dxa"/>
            <w:vMerge w:val="restart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13分</w:t>
            </w:r>
          </w:p>
        </w:tc>
        <w:tc>
          <w:tcPr>
            <w:tcW w:w="1767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主持人计最高分，其余人员按奖项得分除以名次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293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8171" w:type="dxa"/>
            <w:gridSpan w:val="6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参照人文社会科学、自然科学《评审量化评分细则》执行。</w:t>
            </w:r>
          </w:p>
        </w:tc>
        <w:tc>
          <w:tcPr>
            <w:tcW w:w="86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参照人文社会科学、自然科学《评审量化评分细则》执行。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293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个人荣誉及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专</w:t>
            </w:r>
            <w:r>
              <w:rPr>
                <w:rFonts w:ascii="仿宋" w:hAnsi="仿宋" w:eastAsia="仿宋"/>
                <w:sz w:val="21"/>
                <w:szCs w:val="21"/>
              </w:rPr>
              <w:t>家称号</w:t>
            </w:r>
          </w:p>
        </w:tc>
        <w:tc>
          <w:tcPr>
            <w:tcW w:w="6470" w:type="dxa"/>
            <w:gridSpan w:val="4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国家、自治区级荣誉及专家称号以发证机关印章为准。</w:t>
            </w:r>
          </w:p>
          <w:p>
            <w:pPr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包括劳动模范、先进工作者、先进个人、优秀教师（教育工作者）、国家特色专业、自治区品牌专业、精品课、双语教学示范课、教学团队负责人等。其中：获得国家级个人荣誉称号的计2分，自治区级计1分，校级教学、科研0.5分。</w:t>
            </w:r>
          </w:p>
          <w:p>
            <w:pPr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 w:eastAsiaTheme="minorEastAsia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sz w:val="21"/>
                <w:szCs w:val="21"/>
              </w:rPr>
              <w:t>分</w:t>
            </w:r>
          </w:p>
        </w:tc>
        <w:tc>
          <w:tcPr>
            <w:tcW w:w="1767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仿宋" w:hAnsi="仿宋" w:eastAsia="仿宋"/>
                <w:spacing w:val="-6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pacing w:val="-6"/>
                <w:sz w:val="21"/>
                <w:szCs w:val="21"/>
              </w:rPr>
              <w:t>国家、自治区级荣誉及专家称号以发证机关印章为准。包括劳动模范、先进工作者、先进个人、优秀教师（教育工作者）、优秀党员（党务工作者）。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3" w:hRule="atLeast"/>
          <w:jc w:val="center"/>
        </w:trPr>
        <w:tc>
          <w:tcPr>
            <w:tcW w:w="2293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方正粗宋简体" w:hAnsi="宋体" w:eastAsia="方正粗宋简体" w:cs="宋体"/>
                <w:sz w:val="28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8"/>
                <w:szCs w:val="21"/>
              </w:rPr>
              <w:t>业绩评价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8"/>
                <w:szCs w:val="21"/>
              </w:rPr>
              <w:t>（10分）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6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综合评价</w:t>
            </w:r>
          </w:p>
        </w:tc>
        <w:tc>
          <w:tcPr>
            <w:tcW w:w="6470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满足《评审条件》基础上，参照《量化评分细则》第六赋分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10分</w:t>
            </w:r>
          </w:p>
        </w:tc>
        <w:tc>
          <w:tcPr>
            <w:tcW w:w="1767" w:type="dxa"/>
            <w:tcBorders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1046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right"/>
              <w:rPr>
                <w:sz w:val="21"/>
                <w:szCs w:val="21"/>
              </w:rPr>
            </w:pPr>
            <w:r>
              <w:rPr>
                <w:rFonts w:ascii="宋体" w:eastAsia="Times New Roman"/>
                <w:sz w:val="21"/>
                <w:szCs w:val="21"/>
              </w:rPr>
              <w:t>合</w:t>
            </w:r>
            <w:r>
              <w:rPr>
                <w:rFonts w:hint="eastAsia" w:ascii="宋体" w:hAnsi="宋体" w:cs="宋体"/>
                <w:sz w:val="21"/>
                <w:szCs w:val="21"/>
              </w:rPr>
              <w:t>计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120</w:t>
            </w:r>
            <w:r>
              <w:rPr>
                <w:rFonts w:hint="eastAsia" w:ascii="宋体" w:hAnsi="宋体" w:cs="宋体"/>
                <w:sz w:val="21"/>
                <w:szCs w:val="21"/>
              </w:rPr>
              <w:t>分</w:t>
            </w:r>
          </w:p>
        </w:tc>
        <w:tc>
          <w:tcPr>
            <w:tcW w:w="1767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3098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备注：</w:t>
            </w:r>
            <w:r>
              <w:rPr>
                <w:rFonts w:ascii="仿宋" w:hAnsi="仿宋" w:eastAsia="仿宋" w:cs="宋体"/>
                <w:sz w:val="21"/>
                <w:szCs w:val="21"/>
              </w:rPr>
              <w:t>1.</w:t>
            </w:r>
            <w:r>
              <w:rPr>
                <w:rFonts w:ascii="仿宋" w:hAnsi="仿宋" w:eastAsia="仿宋"/>
                <w:sz w:val="21"/>
                <w:szCs w:val="21"/>
              </w:rPr>
              <w:t>此表需依据《赤峰学院</w:t>
            </w:r>
            <w:r>
              <w:rPr>
                <w:rFonts w:ascii="仿宋" w:hAnsi="仿宋" w:eastAsia="仿宋" w:cs="宋体"/>
                <w:sz w:val="21"/>
                <w:szCs w:val="21"/>
              </w:rPr>
              <w:t>201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9</w:t>
            </w:r>
            <w:r>
              <w:rPr>
                <w:rFonts w:ascii="仿宋" w:hAnsi="仿宋" w:eastAsia="仿宋"/>
                <w:sz w:val="21"/>
                <w:szCs w:val="21"/>
              </w:rPr>
              <w:t>年度高校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自然科学研究</w:t>
            </w:r>
            <w:r>
              <w:rPr>
                <w:rFonts w:ascii="仿宋" w:hAnsi="仿宋" w:eastAsia="仿宋"/>
                <w:sz w:val="21"/>
                <w:szCs w:val="21"/>
              </w:rPr>
              <w:t>高级专业技术资格评审量化评分细则》赋分</w:t>
            </w:r>
          </w:p>
          <w:p>
            <w:pPr>
              <w:ind w:firstLine="630" w:firstLineChars="300"/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 w:cs="宋体"/>
                <w:sz w:val="21"/>
                <w:szCs w:val="21"/>
              </w:rPr>
              <w:t>2.</w:t>
            </w:r>
            <w:r>
              <w:rPr>
                <w:rFonts w:ascii="仿宋" w:hAnsi="仿宋" w:eastAsia="仿宋"/>
                <w:sz w:val="21"/>
                <w:szCs w:val="21"/>
              </w:rPr>
              <w:t>参评人员须在满足《赤峰学院</w:t>
            </w:r>
            <w:r>
              <w:rPr>
                <w:rFonts w:ascii="仿宋" w:hAnsi="仿宋" w:eastAsia="仿宋" w:cs="宋体"/>
                <w:sz w:val="21"/>
                <w:szCs w:val="21"/>
              </w:rPr>
              <w:t>201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9</w:t>
            </w:r>
            <w:r>
              <w:rPr>
                <w:rFonts w:ascii="仿宋" w:hAnsi="仿宋" w:eastAsia="仿宋"/>
                <w:sz w:val="21"/>
                <w:szCs w:val="21"/>
              </w:rPr>
              <w:t>年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度</w:t>
            </w:r>
            <w:r>
              <w:rPr>
                <w:rFonts w:ascii="仿宋" w:hAnsi="仿宋" w:eastAsia="仿宋"/>
                <w:sz w:val="21"/>
                <w:szCs w:val="21"/>
              </w:rPr>
              <w:t>高校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自然科学研究</w:t>
            </w:r>
            <w:r>
              <w:rPr>
                <w:rFonts w:ascii="仿宋" w:hAnsi="仿宋" w:eastAsia="仿宋"/>
                <w:sz w:val="21"/>
                <w:szCs w:val="21"/>
              </w:rPr>
              <w:t>高级专业技术资格评审条件》基础上赋分</w:t>
            </w:r>
          </w:p>
          <w:p>
            <w:pPr>
              <w:ind w:firstLine="630" w:firstLineChars="300"/>
              <w:jc w:val="left"/>
              <w:rPr>
                <w:rFonts w:ascii="宋体" w:eastAsiaTheme="minorEastAsia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3.师德师风一票否决</w:t>
            </w:r>
          </w:p>
        </w:tc>
      </w:tr>
    </w:tbl>
    <w:p/>
    <w:sectPr>
      <w:pgSz w:w="15876" w:h="22680"/>
      <w:pgMar w:top="1701" w:right="1418" w:bottom="1134" w:left="1418" w:header="709" w:footer="709" w:gutter="0"/>
      <w:cols w:space="720" w:num="1"/>
      <w:docGrid w:linePitch="360" w:charSpace="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粗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800"/>
  <w:doNotHyphenateCaps/>
  <w:displayHorizontalDrawingGridEvery w:val="0"/>
  <w:displayVerticalDrawingGridEvery w:val="2"/>
  <w:noPunctuationKerning w:val="1"/>
  <w:characterSpacingControl w:val="doNotCompress"/>
  <w:noLineBreaksAfter w:lang="zh-CN" w:val="$([{£¥·‘“〈《「『【〔〖〝﹙﹛﹝＄（．［｛￡￥"/>
  <w:noLineBreaksBefore w:lang="zh-CN" w:val="$([{£¥·‘“〈《「『【〔〖〝﹙﹛﹝＄（．［｛￡￥"/>
  <w:doNotValidateAgainstSchema/>
  <w:doNotDemarcateInvalidXml/>
  <w:compat>
    <w:balanceSingleByteDoubleByteWidth/>
    <w:doNotExpandShiftReturn/>
    <w:useFELayout/>
    <w:compatSetting w:name="compatibilityMode" w:uri="http://schemas.microsoft.com/office/word" w:val="12"/>
  </w:compat>
  <w:rsids>
    <w:rsidRoot w:val="002838A8"/>
    <w:rsid w:val="00001B27"/>
    <w:rsid w:val="00043505"/>
    <w:rsid w:val="00046933"/>
    <w:rsid w:val="00094267"/>
    <w:rsid w:val="000A756F"/>
    <w:rsid w:val="000E013F"/>
    <w:rsid w:val="000E43D8"/>
    <w:rsid w:val="000F3B92"/>
    <w:rsid w:val="00113847"/>
    <w:rsid w:val="00121792"/>
    <w:rsid w:val="00127276"/>
    <w:rsid w:val="00136911"/>
    <w:rsid w:val="0014067C"/>
    <w:rsid w:val="00145433"/>
    <w:rsid w:val="0014698D"/>
    <w:rsid w:val="00146CD2"/>
    <w:rsid w:val="0017496F"/>
    <w:rsid w:val="00176C41"/>
    <w:rsid w:val="001B17D4"/>
    <w:rsid w:val="001B29A7"/>
    <w:rsid w:val="001B6834"/>
    <w:rsid w:val="001C1F7B"/>
    <w:rsid w:val="001D549E"/>
    <w:rsid w:val="001E2E88"/>
    <w:rsid w:val="00205479"/>
    <w:rsid w:val="002114C8"/>
    <w:rsid w:val="00230306"/>
    <w:rsid w:val="00233C42"/>
    <w:rsid w:val="00243657"/>
    <w:rsid w:val="00250623"/>
    <w:rsid w:val="00251044"/>
    <w:rsid w:val="002539D1"/>
    <w:rsid w:val="0025654A"/>
    <w:rsid w:val="0026698D"/>
    <w:rsid w:val="002838A8"/>
    <w:rsid w:val="00284B5C"/>
    <w:rsid w:val="00286C70"/>
    <w:rsid w:val="0029699B"/>
    <w:rsid w:val="002A5C9E"/>
    <w:rsid w:val="003158A8"/>
    <w:rsid w:val="00342AA6"/>
    <w:rsid w:val="00362A6A"/>
    <w:rsid w:val="00366458"/>
    <w:rsid w:val="003713FC"/>
    <w:rsid w:val="0037663D"/>
    <w:rsid w:val="003962F5"/>
    <w:rsid w:val="003E1C44"/>
    <w:rsid w:val="003E2194"/>
    <w:rsid w:val="003E5442"/>
    <w:rsid w:val="00405A79"/>
    <w:rsid w:val="00417CAB"/>
    <w:rsid w:val="004220DC"/>
    <w:rsid w:val="00427E7D"/>
    <w:rsid w:val="00446FAF"/>
    <w:rsid w:val="00451E13"/>
    <w:rsid w:val="00471718"/>
    <w:rsid w:val="00477D7F"/>
    <w:rsid w:val="00496A86"/>
    <w:rsid w:val="004B576B"/>
    <w:rsid w:val="004E3F42"/>
    <w:rsid w:val="00511832"/>
    <w:rsid w:val="00515E5C"/>
    <w:rsid w:val="005204AD"/>
    <w:rsid w:val="00523F6C"/>
    <w:rsid w:val="00525E7C"/>
    <w:rsid w:val="00525EA3"/>
    <w:rsid w:val="0053643F"/>
    <w:rsid w:val="0056316B"/>
    <w:rsid w:val="005B284D"/>
    <w:rsid w:val="005B53BC"/>
    <w:rsid w:val="005B7DAB"/>
    <w:rsid w:val="005D4F0D"/>
    <w:rsid w:val="005F31C8"/>
    <w:rsid w:val="006202BA"/>
    <w:rsid w:val="00624D1A"/>
    <w:rsid w:val="00647611"/>
    <w:rsid w:val="006668CD"/>
    <w:rsid w:val="00690B4C"/>
    <w:rsid w:val="006B15FE"/>
    <w:rsid w:val="006B2147"/>
    <w:rsid w:val="006D4F33"/>
    <w:rsid w:val="0071429C"/>
    <w:rsid w:val="007839F4"/>
    <w:rsid w:val="007A0CF9"/>
    <w:rsid w:val="007B235E"/>
    <w:rsid w:val="007F56A5"/>
    <w:rsid w:val="00805730"/>
    <w:rsid w:val="008072DB"/>
    <w:rsid w:val="00813CEF"/>
    <w:rsid w:val="00824762"/>
    <w:rsid w:val="00836C26"/>
    <w:rsid w:val="00837AB9"/>
    <w:rsid w:val="00852EBE"/>
    <w:rsid w:val="00856ECF"/>
    <w:rsid w:val="008C0F18"/>
    <w:rsid w:val="008C2234"/>
    <w:rsid w:val="00903275"/>
    <w:rsid w:val="00913047"/>
    <w:rsid w:val="009149A4"/>
    <w:rsid w:val="009871ED"/>
    <w:rsid w:val="009A2CF6"/>
    <w:rsid w:val="009A624E"/>
    <w:rsid w:val="009C2E88"/>
    <w:rsid w:val="009E1163"/>
    <w:rsid w:val="00A11300"/>
    <w:rsid w:val="00A33E5C"/>
    <w:rsid w:val="00A44535"/>
    <w:rsid w:val="00A811E4"/>
    <w:rsid w:val="00A90DB5"/>
    <w:rsid w:val="00A97532"/>
    <w:rsid w:val="00AA7070"/>
    <w:rsid w:val="00AE2B17"/>
    <w:rsid w:val="00AE57AA"/>
    <w:rsid w:val="00B02554"/>
    <w:rsid w:val="00B0356F"/>
    <w:rsid w:val="00B17F10"/>
    <w:rsid w:val="00B2553D"/>
    <w:rsid w:val="00B478DA"/>
    <w:rsid w:val="00B572B4"/>
    <w:rsid w:val="00B925D6"/>
    <w:rsid w:val="00B93D22"/>
    <w:rsid w:val="00BA1DB9"/>
    <w:rsid w:val="00BB0D7F"/>
    <w:rsid w:val="00BB6E16"/>
    <w:rsid w:val="00BD64CE"/>
    <w:rsid w:val="00BD70DC"/>
    <w:rsid w:val="00BE47EC"/>
    <w:rsid w:val="00C15BED"/>
    <w:rsid w:val="00C31492"/>
    <w:rsid w:val="00C4249D"/>
    <w:rsid w:val="00C50D0E"/>
    <w:rsid w:val="00C534E8"/>
    <w:rsid w:val="00C61FF8"/>
    <w:rsid w:val="00C80FAD"/>
    <w:rsid w:val="00C855F9"/>
    <w:rsid w:val="00CB7AF7"/>
    <w:rsid w:val="00CC160B"/>
    <w:rsid w:val="00CF6C79"/>
    <w:rsid w:val="00D2188E"/>
    <w:rsid w:val="00D354A8"/>
    <w:rsid w:val="00D96237"/>
    <w:rsid w:val="00DC6559"/>
    <w:rsid w:val="00DD2644"/>
    <w:rsid w:val="00DE489F"/>
    <w:rsid w:val="00DF2DAA"/>
    <w:rsid w:val="00E3290F"/>
    <w:rsid w:val="00E4682E"/>
    <w:rsid w:val="00E84F37"/>
    <w:rsid w:val="00E870EA"/>
    <w:rsid w:val="00E9096F"/>
    <w:rsid w:val="00E923A6"/>
    <w:rsid w:val="00E95434"/>
    <w:rsid w:val="00EC3C78"/>
    <w:rsid w:val="00EC6D7C"/>
    <w:rsid w:val="00EE65A0"/>
    <w:rsid w:val="00EF49C8"/>
    <w:rsid w:val="00EF53B9"/>
    <w:rsid w:val="00F04089"/>
    <w:rsid w:val="00F04BAA"/>
    <w:rsid w:val="00F14AC7"/>
    <w:rsid w:val="00F31618"/>
    <w:rsid w:val="00F43F27"/>
    <w:rsid w:val="00F601F1"/>
    <w:rsid w:val="00F774D7"/>
    <w:rsid w:val="00F86633"/>
    <w:rsid w:val="00F9489F"/>
    <w:rsid w:val="00FC1CEB"/>
    <w:rsid w:val="00FC687F"/>
    <w:rsid w:val="00FD67BE"/>
    <w:rsid w:val="07F67CC3"/>
    <w:rsid w:val="257B4CE3"/>
    <w:rsid w:val="7A33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99" w:name="toc 1"/>
    <w:lsdException w:unhideWhenUsed="0" w:uiPriority="99" w:name="toc 2"/>
    <w:lsdException w:qFormat="1" w:unhideWhenUsed="0" w:uiPriority="99" w:name="toc 3"/>
    <w:lsdException w:qFormat="1" w:unhideWhenUsed="0" w:uiPriority="99" w:name="toc 4"/>
    <w:lsdException w:qFormat="1" w:unhideWhenUsed="0" w:uiPriority="99" w:name="toc 5"/>
    <w:lsdException w:qFormat="1" w:unhideWhenUsed="0" w:uiPriority="99" w:name="toc 6"/>
    <w:lsdException w:qFormat="1" w:unhideWhenUsed="0" w:uiPriority="99" w:name="toc 7"/>
    <w:lsdException w:qFormat="1" w:unhideWhenUsed="0" w:uiPriority="99" w:name="toc 8"/>
    <w:lsdException w:unhideWhenUsed="0" w:uiPriority="99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iPriority="99" w:name="header" w:locked="1"/>
    <w:lsdException w:qFormat="1" w:uiPriority="99" w:name="footer" w:locked="1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99"/>
    <w:pPr>
      <w:outlineLvl w:val="0"/>
    </w:pPr>
    <w:rPr>
      <w:sz w:val="28"/>
      <w:szCs w:val="28"/>
    </w:rPr>
  </w:style>
  <w:style w:type="paragraph" w:styleId="3">
    <w:name w:val="heading 2"/>
    <w:basedOn w:val="1"/>
    <w:next w:val="1"/>
    <w:link w:val="30"/>
    <w:qFormat/>
    <w:uiPriority w:val="99"/>
    <w:pPr>
      <w:outlineLvl w:val="1"/>
    </w:pPr>
  </w:style>
  <w:style w:type="paragraph" w:styleId="4">
    <w:name w:val="heading 3"/>
    <w:basedOn w:val="1"/>
    <w:next w:val="1"/>
    <w:link w:val="31"/>
    <w:qFormat/>
    <w:uiPriority w:val="99"/>
    <w:pPr>
      <w:ind w:left="1000" w:hanging="400"/>
      <w:outlineLvl w:val="2"/>
    </w:pPr>
  </w:style>
  <w:style w:type="paragraph" w:styleId="5">
    <w:name w:val="heading 4"/>
    <w:basedOn w:val="1"/>
    <w:next w:val="1"/>
    <w:link w:val="32"/>
    <w:qFormat/>
    <w:uiPriority w:val="99"/>
    <w:pPr>
      <w:ind w:left="1200" w:hanging="400"/>
      <w:outlineLvl w:val="3"/>
    </w:pPr>
    <w:rPr>
      <w:b/>
      <w:bCs/>
    </w:rPr>
  </w:style>
  <w:style w:type="paragraph" w:styleId="6">
    <w:name w:val="heading 5"/>
    <w:basedOn w:val="1"/>
    <w:next w:val="1"/>
    <w:link w:val="33"/>
    <w:qFormat/>
    <w:uiPriority w:val="99"/>
    <w:pPr>
      <w:ind w:left="1400" w:hanging="400"/>
      <w:outlineLvl w:val="4"/>
    </w:pPr>
  </w:style>
  <w:style w:type="paragraph" w:styleId="7">
    <w:name w:val="heading 6"/>
    <w:basedOn w:val="1"/>
    <w:next w:val="1"/>
    <w:link w:val="34"/>
    <w:qFormat/>
    <w:uiPriority w:val="99"/>
    <w:pPr>
      <w:ind w:left="1600" w:hanging="400"/>
      <w:outlineLvl w:val="5"/>
    </w:pPr>
    <w:rPr>
      <w:b/>
      <w:bCs/>
    </w:rPr>
  </w:style>
  <w:style w:type="paragraph" w:styleId="8">
    <w:name w:val="heading 7"/>
    <w:basedOn w:val="1"/>
    <w:next w:val="1"/>
    <w:link w:val="35"/>
    <w:qFormat/>
    <w:uiPriority w:val="99"/>
    <w:pPr>
      <w:ind w:left="1800" w:hanging="400"/>
      <w:outlineLvl w:val="6"/>
    </w:pPr>
  </w:style>
  <w:style w:type="paragraph" w:styleId="9">
    <w:name w:val="heading 8"/>
    <w:basedOn w:val="1"/>
    <w:next w:val="1"/>
    <w:link w:val="36"/>
    <w:qFormat/>
    <w:uiPriority w:val="99"/>
    <w:pPr>
      <w:ind w:left="2000" w:hanging="400"/>
      <w:outlineLvl w:val="7"/>
    </w:pPr>
  </w:style>
  <w:style w:type="paragraph" w:styleId="10">
    <w:name w:val="heading 9"/>
    <w:basedOn w:val="1"/>
    <w:next w:val="1"/>
    <w:link w:val="37"/>
    <w:qFormat/>
    <w:uiPriority w:val="99"/>
    <w:pPr>
      <w:ind w:left="2200" w:hanging="400"/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semiHidden/>
    <w:qFormat/>
    <w:uiPriority w:val="99"/>
    <w:pPr>
      <w:ind w:left="2550"/>
    </w:pPr>
  </w:style>
  <w:style w:type="paragraph" w:styleId="12">
    <w:name w:val="toc 5"/>
    <w:basedOn w:val="1"/>
    <w:next w:val="1"/>
    <w:semiHidden/>
    <w:qFormat/>
    <w:uiPriority w:val="99"/>
    <w:pPr>
      <w:ind w:left="1700"/>
    </w:pPr>
  </w:style>
  <w:style w:type="paragraph" w:styleId="13">
    <w:name w:val="toc 3"/>
    <w:basedOn w:val="1"/>
    <w:next w:val="1"/>
    <w:semiHidden/>
    <w:qFormat/>
    <w:uiPriority w:val="99"/>
    <w:pPr>
      <w:ind w:left="850"/>
    </w:pPr>
  </w:style>
  <w:style w:type="paragraph" w:styleId="14">
    <w:name w:val="toc 8"/>
    <w:basedOn w:val="1"/>
    <w:next w:val="1"/>
    <w:semiHidden/>
    <w:qFormat/>
    <w:uiPriority w:val="99"/>
    <w:pPr>
      <w:ind w:left="2975"/>
    </w:pPr>
  </w:style>
  <w:style w:type="paragraph" w:styleId="15">
    <w:name w:val="footer"/>
    <w:basedOn w:val="1"/>
    <w:link w:val="166"/>
    <w:semiHidden/>
    <w:unhideWhenUsed/>
    <w:qFormat/>
    <w:lock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165"/>
    <w:semiHidden/>
    <w:unhideWhenUsed/>
    <w:qFormat/>
    <w:lock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semiHidden/>
    <w:qFormat/>
    <w:uiPriority w:val="99"/>
  </w:style>
  <w:style w:type="paragraph" w:styleId="18">
    <w:name w:val="toc 4"/>
    <w:basedOn w:val="1"/>
    <w:next w:val="1"/>
    <w:semiHidden/>
    <w:qFormat/>
    <w:uiPriority w:val="99"/>
    <w:pPr>
      <w:ind w:left="1275"/>
    </w:pPr>
  </w:style>
  <w:style w:type="paragraph" w:styleId="19">
    <w:name w:val="Subtitle"/>
    <w:basedOn w:val="1"/>
    <w:link w:val="40"/>
    <w:qFormat/>
    <w:uiPriority w:val="99"/>
    <w:pPr>
      <w:jc w:val="center"/>
    </w:pPr>
    <w:rPr>
      <w:sz w:val="24"/>
      <w:szCs w:val="24"/>
    </w:rPr>
  </w:style>
  <w:style w:type="paragraph" w:styleId="20">
    <w:name w:val="toc 6"/>
    <w:basedOn w:val="1"/>
    <w:next w:val="1"/>
    <w:semiHidden/>
    <w:qFormat/>
    <w:uiPriority w:val="99"/>
    <w:pPr>
      <w:ind w:left="2125"/>
    </w:pPr>
  </w:style>
  <w:style w:type="paragraph" w:styleId="21">
    <w:name w:val="toc 2"/>
    <w:basedOn w:val="1"/>
    <w:next w:val="1"/>
    <w:semiHidden/>
    <w:uiPriority w:val="99"/>
    <w:pPr>
      <w:ind w:left="425"/>
    </w:pPr>
  </w:style>
  <w:style w:type="paragraph" w:styleId="22">
    <w:name w:val="toc 9"/>
    <w:basedOn w:val="1"/>
    <w:next w:val="1"/>
    <w:semiHidden/>
    <w:uiPriority w:val="99"/>
    <w:pPr>
      <w:ind w:left="3400"/>
    </w:pPr>
  </w:style>
  <w:style w:type="paragraph" w:styleId="23">
    <w:name w:val="Title"/>
    <w:basedOn w:val="1"/>
    <w:link w:val="39"/>
    <w:qFormat/>
    <w:uiPriority w:val="99"/>
    <w:pPr>
      <w:jc w:val="center"/>
    </w:pPr>
    <w:rPr>
      <w:b/>
      <w:bCs/>
      <w:sz w:val="32"/>
      <w:szCs w:val="32"/>
    </w:rPr>
  </w:style>
  <w:style w:type="table" w:styleId="25">
    <w:name w:val="Table Grid"/>
    <w:basedOn w:val="24"/>
    <w:qFormat/>
    <w:uiPriority w:val="99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Strong"/>
    <w:basedOn w:val="26"/>
    <w:qFormat/>
    <w:uiPriority w:val="99"/>
    <w:rPr>
      <w:rFonts w:ascii="宋体" w:eastAsia="宋体" w:cs="宋体"/>
      <w:b/>
      <w:bCs/>
      <w:w w:val="100"/>
      <w:sz w:val="21"/>
      <w:szCs w:val="21"/>
      <w:shd w:val="clear" w:color="000000" w:fill="auto"/>
    </w:rPr>
  </w:style>
  <w:style w:type="character" w:styleId="28">
    <w:name w:val="Emphasis"/>
    <w:basedOn w:val="26"/>
    <w:qFormat/>
    <w:uiPriority w:val="99"/>
    <w:rPr>
      <w:rFonts w:ascii="宋体" w:eastAsia="宋体" w:cs="宋体"/>
      <w:i/>
      <w:iCs/>
      <w:w w:val="100"/>
      <w:sz w:val="21"/>
      <w:szCs w:val="21"/>
      <w:shd w:val="clear" w:color="000000" w:fill="auto"/>
    </w:rPr>
  </w:style>
  <w:style w:type="character" w:customStyle="1" w:styleId="29">
    <w:name w:val="标题 1 Char"/>
    <w:basedOn w:val="26"/>
    <w:link w:val="2"/>
    <w:qFormat/>
    <w:locked/>
    <w:uiPriority w:val="99"/>
    <w:rPr>
      <w:rFonts w:ascii="宋体" w:eastAsia="宋体" w:cs="宋体"/>
      <w:b/>
      <w:bCs/>
      <w:w w:val="100"/>
      <w:sz w:val="44"/>
      <w:szCs w:val="44"/>
      <w:shd w:val="clear" w:color="auto" w:fill="auto"/>
    </w:rPr>
  </w:style>
  <w:style w:type="character" w:customStyle="1" w:styleId="30">
    <w:name w:val="标题 2 Char"/>
    <w:basedOn w:val="26"/>
    <w:link w:val="3"/>
    <w:semiHidden/>
    <w:qFormat/>
    <w:locked/>
    <w:uiPriority w:val="99"/>
    <w:rPr>
      <w:rFonts w:ascii="Cambria" w:hAnsi="Cambria" w:cs="Cambria"/>
      <w:b/>
      <w:bCs/>
      <w:w w:val="100"/>
      <w:sz w:val="32"/>
      <w:szCs w:val="32"/>
      <w:shd w:val="clear" w:color="auto" w:fill="auto"/>
    </w:rPr>
  </w:style>
  <w:style w:type="character" w:customStyle="1" w:styleId="31">
    <w:name w:val="标题 3 Char"/>
    <w:basedOn w:val="26"/>
    <w:link w:val="4"/>
    <w:semiHidden/>
    <w:qFormat/>
    <w:locked/>
    <w:uiPriority w:val="99"/>
    <w:rPr>
      <w:rFonts w:ascii="宋体" w:eastAsia="宋体" w:cs="宋体"/>
      <w:b/>
      <w:bCs/>
      <w:w w:val="100"/>
      <w:sz w:val="32"/>
      <w:szCs w:val="32"/>
      <w:shd w:val="clear" w:color="auto" w:fill="auto"/>
    </w:rPr>
  </w:style>
  <w:style w:type="character" w:customStyle="1" w:styleId="32">
    <w:name w:val="标题 4 Char"/>
    <w:basedOn w:val="26"/>
    <w:link w:val="5"/>
    <w:semiHidden/>
    <w:qFormat/>
    <w:locked/>
    <w:uiPriority w:val="99"/>
    <w:rPr>
      <w:rFonts w:ascii="Cambria" w:hAnsi="Cambria" w:cs="Cambria"/>
      <w:b/>
      <w:bCs/>
      <w:w w:val="100"/>
      <w:sz w:val="28"/>
      <w:szCs w:val="28"/>
      <w:shd w:val="clear" w:color="auto" w:fill="auto"/>
    </w:rPr>
  </w:style>
  <w:style w:type="character" w:customStyle="1" w:styleId="33">
    <w:name w:val="标题 5 Char"/>
    <w:basedOn w:val="26"/>
    <w:link w:val="6"/>
    <w:semiHidden/>
    <w:qFormat/>
    <w:locked/>
    <w:uiPriority w:val="99"/>
    <w:rPr>
      <w:rFonts w:ascii="宋体" w:eastAsia="宋体" w:cs="宋体"/>
      <w:b/>
      <w:bCs/>
      <w:w w:val="100"/>
      <w:sz w:val="28"/>
      <w:szCs w:val="28"/>
      <w:shd w:val="clear" w:color="auto" w:fill="auto"/>
    </w:rPr>
  </w:style>
  <w:style w:type="character" w:customStyle="1" w:styleId="34">
    <w:name w:val="标题 6 Char"/>
    <w:basedOn w:val="26"/>
    <w:link w:val="7"/>
    <w:semiHidden/>
    <w:locked/>
    <w:uiPriority w:val="99"/>
    <w:rPr>
      <w:rFonts w:ascii="Cambria" w:hAnsi="Cambria" w:cs="Cambria"/>
      <w:b/>
      <w:bCs/>
      <w:w w:val="100"/>
      <w:sz w:val="24"/>
      <w:szCs w:val="24"/>
      <w:shd w:val="clear" w:color="auto" w:fill="auto"/>
    </w:rPr>
  </w:style>
  <w:style w:type="character" w:customStyle="1" w:styleId="35">
    <w:name w:val="标题 7 Char"/>
    <w:basedOn w:val="26"/>
    <w:link w:val="8"/>
    <w:semiHidden/>
    <w:qFormat/>
    <w:locked/>
    <w:uiPriority w:val="99"/>
    <w:rPr>
      <w:rFonts w:ascii="宋体" w:eastAsia="宋体" w:cs="宋体"/>
      <w:b/>
      <w:bCs/>
      <w:w w:val="100"/>
      <w:sz w:val="24"/>
      <w:szCs w:val="24"/>
      <w:shd w:val="clear" w:color="auto" w:fill="auto"/>
    </w:rPr>
  </w:style>
  <w:style w:type="character" w:customStyle="1" w:styleId="36">
    <w:name w:val="标题 8 Char"/>
    <w:basedOn w:val="26"/>
    <w:link w:val="9"/>
    <w:semiHidden/>
    <w:qFormat/>
    <w:locked/>
    <w:uiPriority w:val="99"/>
    <w:rPr>
      <w:rFonts w:ascii="Cambria" w:hAnsi="Cambria" w:cs="Cambria"/>
      <w:w w:val="100"/>
      <w:sz w:val="24"/>
      <w:szCs w:val="24"/>
      <w:shd w:val="clear" w:color="auto" w:fill="auto"/>
    </w:rPr>
  </w:style>
  <w:style w:type="character" w:customStyle="1" w:styleId="37">
    <w:name w:val="标题 9 Char"/>
    <w:basedOn w:val="26"/>
    <w:link w:val="10"/>
    <w:semiHidden/>
    <w:qFormat/>
    <w:locked/>
    <w:uiPriority w:val="99"/>
    <w:rPr>
      <w:rFonts w:ascii="Cambria" w:hAnsi="Cambria" w:cs="Cambria"/>
      <w:w w:val="100"/>
      <w:sz w:val="21"/>
      <w:szCs w:val="21"/>
      <w:shd w:val="clear" w:color="auto" w:fill="auto"/>
    </w:rPr>
  </w:style>
  <w:style w:type="paragraph" w:styleId="38">
    <w:name w:val="No Spacing"/>
    <w:qFormat/>
    <w:uiPriority w:val="99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39">
    <w:name w:val="标题 Char"/>
    <w:basedOn w:val="26"/>
    <w:link w:val="23"/>
    <w:qFormat/>
    <w:locked/>
    <w:uiPriority w:val="99"/>
    <w:rPr>
      <w:rFonts w:ascii="Cambria" w:hAnsi="Cambria" w:cs="Cambria"/>
      <w:b/>
      <w:bCs/>
      <w:w w:val="100"/>
      <w:sz w:val="32"/>
      <w:szCs w:val="32"/>
      <w:shd w:val="clear" w:color="auto" w:fill="auto"/>
    </w:rPr>
  </w:style>
  <w:style w:type="character" w:customStyle="1" w:styleId="40">
    <w:name w:val="副标题 Char"/>
    <w:basedOn w:val="26"/>
    <w:link w:val="19"/>
    <w:qFormat/>
    <w:locked/>
    <w:uiPriority w:val="99"/>
    <w:rPr>
      <w:rFonts w:ascii="Cambria" w:hAnsi="Cambria" w:cs="Cambria"/>
      <w:b/>
      <w:bCs/>
      <w:w w:val="100"/>
      <w:sz w:val="32"/>
      <w:szCs w:val="32"/>
      <w:shd w:val="clear" w:color="auto" w:fill="auto"/>
    </w:rPr>
  </w:style>
  <w:style w:type="character" w:customStyle="1" w:styleId="41">
    <w:name w:val="Subtle Emphasis"/>
    <w:basedOn w:val="26"/>
    <w:qFormat/>
    <w:uiPriority w:val="99"/>
    <w:rPr>
      <w:rFonts w:ascii="宋体" w:eastAsia="宋体" w:cs="宋体"/>
      <w:i/>
      <w:iCs/>
      <w:color w:val="404040"/>
      <w:w w:val="100"/>
      <w:sz w:val="21"/>
      <w:szCs w:val="21"/>
      <w:shd w:val="clear" w:color="000000" w:fill="auto"/>
    </w:rPr>
  </w:style>
  <w:style w:type="character" w:customStyle="1" w:styleId="42">
    <w:name w:val="Intense Emphasis"/>
    <w:basedOn w:val="26"/>
    <w:qFormat/>
    <w:uiPriority w:val="99"/>
    <w:rPr>
      <w:rFonts w:ascii="宋体" w:eastAsia="宋体" w:cs="宋体"/>
      <w:i/>
      <w:iCs/>
      <w:color w:val="5B9BD5"/>
      <w:w w:val="100"/>
      <w:sz w:val="21"/>
      <w:szCs w:val="21"/>
      <w:shd w:val="clear" w:color="000000" w:fill="auto"/>
    </w:rPr>
  </w:style>
  <w:style w:type="paragraph" w:styleId="43">
    <w:name w:val="Quote"/>
    <w:basedOn w:val="1"/>
    <w:link w:val="44"/>
    <w:qFormat/>
    <w:uiPriority w:val="99"/>
    <w:pPr>
      <w:ind w:left="864" w:right="864"/>
      <w:jc w:val="center"/>
    </w:pPr>
    <w:rPr>
      <w:i/>
      <w:iCs/>
      <w:color w:val="404040"/>
    </w:rPr>
  </w:style>
  <w:style w:type="character" w:customStyle="1" w:styleId="44">
    <w:name w:val="引用 Char"/>
    <w:basedOn w:val="26"/>
    <w:link w:val="43"/>
    <w:qFormat/>
    <w:locked/>
    <w:uiPriority w:val="99"/>
    <w:rPr>
      <w:rFonts w:ascii="宋体" w:eastAsia="宋体" w:cs="宋体"/>
      <w:i/>
      <w:iCs/>
      <w:color w:val="000000"/>
      <w:w w:val="100"/>
      <w:sz w:val="21"/>
      <w:szCs w:val="21"/>
      <w:shd w:val="clear" w:color="auto" w:fill="auto"/>
    </w:rPr>
  </w:style>
  <w:style w:type="paragraph" w:styleId="45">
    <w:name w:val="Intense Quote"/>
    <w:basedOn w:val="1"/>
    <w:link w:val="46"/>
    <w:qFormat/>
    <w:uiPriority w:val="99"/>
    <w:pPr>
      <w:ind w:left="950" w:right="950"/>
      <w:jc w:val="center"/>
    </w:pPr>
    <w:rPr>
      <w:i/>
      <w:iCs/>
      <w:color w:val="5B9BD5"/>
    </w:rPr>
  </w:style>
  <w:style w:type="character" w:customStyle="1" w:styleId="46">
    <w:name w:val="明显引用 Char"/>
    <w:basedOn w:val="26"/>
    <w:link w:val="45"/>
    <w:qFormat/>
    <w:locked/>
    <w:uiPriority w:val="99"/>
    <w:rPr>
      <w:rFonts w:ascii="宋体" w:eastAsia="宋体" w:cs="宋体"/>
      <w:b/>
      <w:bCs/>
      <w:i/>
      <w:iCs/>
      <w:color w:val="auto"/>
      <w:w w:val="100"/>
      <w:sz w:val="21"/>
      <w:szCs w:val="21"/>
      <w:shd w:val="clear" w:color="auto" w:fill="auto"/>
    </w:rPr>
  </w:style>
  <w:style w:type="character" w:customStyle="1" w:styleId="47">
    <w:name w:val="Subtle Reference"/>
    <w:basedOn w:val="26"/>
    <w:qFormat/>
    <w:uiPriority w:val="99"/>
    <w:rPr>
      <w:rFonts w:ascii="宋体" w:eastAsia="宋体" w:cs="宋体"/>
      <w:smallCaps/>
      <w:color w:val="auto"/>
      <w:w w:val="100"/>
      <w:sz w:val="21"/>
      <w:szCs w:val="21"/>
      <w:shd w:val="clear" w:color="000000" w:fill="auto"/>
    </w:rPr>
  </w:style>
  <w:style w:type="character" w:customStyle="1" w:styleId="48">
    <w:name w:val="Intense Reference"/>
    <w:basedOn w:val="26"/>
    <w:qFormat/>
    <w:uiPriority w:val="99"/>
    <w:rPr>
      <w:rFonts w:ascii="宋体" w:eastAsia="宋体" w:cs="宋体"/>
      <w:b/>
      <w:bCs/>
      <w:smallCaps/>
      <w:color w:val="5B9BD5"/>
      <w:w w:val="100"/>
      <w:sz w:val="21"/>
      <w:szCs w:val="21"/>
      <w:shd w:val="clear" w:color="000000" w:fill="auto"/>
    </w:rPr>
  </w:style>
  <w:style w:type="character" w:customStyle="1" w:styleId="49">
    <w:name w:val="Book Title"/>
    <w:basedOn w:val="26"/>
    <w:qFormat/>
    <w:uiPriority w:val="99"/>
    <w:rPr>
      <w:rFonts w:ascii="宋体" w:eastAsia="宋体" w:cs="宋体"/>
      <w:b/>
      <w:bCs/>
      <w:i/>
      <w:iCs/>
      <w:w w:val="100"/>
      <w:sz w:val="21"/>
      <w:szCs w:val="21"/>
      <w:shd w:val="clear" w:color="000000" w:fill="auto"/>
    </w:rPr>
  </w:style>
  <w:style w:type="paragraph" w:styleId="50">
    <w:name w:val="List Paragraph"/>
    <w:basedOn w:val="1"/>
    <w:qFormat/>
    <w:uiPriority w:val="99"/>
    <w:pPr>
      <w:ind w:left="850"/>
    </w:pPr>
  </w:style>
  <w:style w:type="paragraph" w:customStyle="1" w:styleId="51">
    <w:name w:val="TOC Heading"/>
    <w:basedOn w:val="2"/>
    <w:qFormat/>
    <w:uiPriority w:val="99"/>
    <w:rPr>
      <w:color w:val="2E74B5"/>
      <w:sz w:val="32"/>
      <w:szCs w:val="32"/>
    </w:rPr>
  </w:style>
  <w:style w:type="table" w:customStyle="1" w:styleId="52">
    <w:name w:val="Grid Table Light"/>
    <w:qFormat/>
    <w:uiPriority w:val="99"/>
    <w:pPr>
      <w:jc w:val="both"/>
    </w:pPr>
    <w:tblPr>
      <w:tblBorders>
        <w:top w:val="single" w:color="CCCCCC" w:sz="4" w:space="0"/>
        <w:left w:val="single" w:color="CCCCCC" w:sz="4" w:space="0"/>
        <w:bottom w:val="single" w:color="CCCCCC" w:sz="4" w:space="0"/>
        <w:right w:val="single" w:color="CCCCCC" w:sz="4" w:space="0"/>
        <w:insideH w:val="single" w:color="CCCCCC" w:sz="4" w:space="0"/>
        <w:insideV w:val="single" w:color="CCCCCC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Plain Table 1"/>
    <w:uiPriority w:val="99"/>
    <w:pPr>
      <w:jc w:val="both"/>
    </w:pPr>
    <w:tblPr>
      <w:tblBorders>
        <w:top w:val="single" w:color="CCCCCC" w:sz="4" w:space="0"/>
        <w:left w:val="single" w:color="CCCCCC" w:sz="4" w:space="0"/>
        <w:bottom w:val="single" w:color="CCCCCC" w:sz="4" w:space="0"/>
        <w:right w:val="single" w:color="CCCCCC" w:sz="4" w:space="0"/>
        <w:insideH w:val="single" w:color="CCCCCC" w:sz="4" w:space="0"/>
        <w:insideV w:val="single" w:color="CCCCCC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Plain Table 2"/>
    <w:qFormat/>
    <w:uiPriority w:val="99"/>
    <w:pPr>
      <w:jc w:val="both"/>
    </w:pPr>
    <w:tblPr>
      <w:tblBorders>
        <w:top w:val="single" w:color="7F7F7F" w:sz="4" w:space="0"/>
        <w:bottom w:val="single" w:color="7F7F7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Plain Table 3"/>
    <w:qFormat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Plain Table 4"/>
    <w:qFormat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Plain Table 5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Grid Table 1 Light"/>
    <w:qFormat/>
    <w:uiPriority w:val="99"/>
    <w:pPr>
      <w:jc w:val="both"/>
    </w:p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Grid Table 1 Light Accent 1"/>
    <w:qFormat/>
    <w:uiPriority w:val="99"/>
    <w:pPr>
      <w:jc w:val="both"/>
    </w:pPr>
    <w:tblPr>
      <w:tblBorders>
        <w:top w:val="single" w:color="BDD6EE" w:sz="4" w:space="0"/>
        <w:left w:val="single" w:color="BDD6EE" w:sz="4" w:space="0"/>
        <w:bottom w:val="single" w:color="BDD6EE" w:sz="4" w:space="0"/>
        <w:right w:val="single" w:color="BDD6EE" w:sz="4" w:space="0"/>
        <w:insideH w:val="single" w:color="BDD6EE" w:sz="4" w:space="0"/>
        <w:insideV w:val="single" w:color="BDD6EE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Grid Table 1 Light Accent 2"/>
    <w:qFormat/>
    <w:uiPriority w:val="99"/>
    <w:pPr>
      <w:jc w:val="both"/>
    </w:pPr>
    <w:tblPr>
      <w:tblBorders>
        <w:top w:val="single" w:color="F7CAAC" w:sz="4" w:space="0"/>
        <w:left w:val="single" w:color="F7CAAC" w:sz="4" w:space="0"/>
        <w:bottom w:val="single" w:color="F7CAAC" w:sz="4" w:space="0"/>
        <w:right w:val="single" w:color="F7CAAC" w:sz="4" w:space="0"/>
        <w:insideH w:val="single" w:color="F7CAAC" w:sz="4" w:space="0"/>
        <w:insideV w:val="single" w:color="F7CAAC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Grid Table 1 Light Accent 3"/>
    <w:qFormat/>
    <w:uiPriority w:val="99"/>
    <w:pPr>
      <w:jc w:val="both"/>
    </w:p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Grid Table 1 Light Accent 4"/>
    <w:qFormat/>
    <w:uiPriority w:val="99"/>
    <w:pPr>
      <w:jc w:val="both"/>
    </w:pPr>
    <w:tblPr>
      <w:tblBorders>
        <w:top w:val="single" w:color="FFE599" w:sz="4" w:space="0"/>
        <w:left w:val="single" w:color="FFE599" w:sz="4" w:space="0"/>
        <w:bottom w:val="single" w:color="FFE599" w:sz="4" w:space="0"/>
        <w:right w:val="single" w:color="FFE599" w:sz="4" w:space="0"/>
        <w:insideH w:val="single" w:color="FFE599" w:sz="4" w:space="0"/>
        <w:insideV w:val="single" w:color="FFE599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Grid Table 1 Light Accent 5"/>
    <w:qFormat/>
    <w:uiPriority w:val="99"/>
    <w:pPr>
      <w:jc w:val="both"/>
    </w:pPr>
    <w:tblPr>
      <w:tblBorders>
        <w:top w:val="single" w:color="B4C6E7" w:sz="4" w:space="0"/>
        <w:left w:val="single" w:color="B4C6E7" w:sz="4" w:space="0"/>
        <w:bottom w:val="single" w:color="B4C6E7" w:sz="4" w:space="0"/>
        <w:right w:val="single" w:color="B4C6E7" w:sz="4" w:space="0"/>
        <w:insideH w:val="single" w:color="B4C6E7" w:sz="4" w:space="0"/>
        <w:insideV w:val="single" w:color="B4C6E7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Grid Table 1 Light Accent 6"/>
    <w:qFormat/>
    <w:uiPriority w:val="99"/>
    <w:pPr>
      <w:jc w:val="both"/>
    </w:pPr>
    <w:tblPr>
      <w:tblBorders>
        <w:top w:val="single" w:color="C5E0B3" w:sz="4" w:space="0"/>
        <w:left w:val="single" w:color="C5E0B3" w:sz="4" w:space="0"/>
        <w:bottom w:val="single" w:color="C5E0B3" w:sz="4" w:space="0"/>
        <w:right w:val="single" w:color="C5E0B3" w:sz="4" w:space="0"/>
        <w:insideH w:val="single" w:color="C5E0B3" w:sz="4" w:space="0"/>
        <w:insideV w:val="single" w:color="C5E0B3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Grid Table 2"/>
    <w:qFormat/>
    <w:uiPriority w:val="99"/>
    <w:pPr>
      <w:jc w:val="both"/>
    </w:pPr>
    <w:tblPr>
      <w:tblBorders>
        <w:top w:val="single" w:color="666666" w:sz="2" w:space="0"/>
        <w:bottom w:val="single" w:color="666666" w:sz="2" w:space="0"/>
        <w:insideH w:val="single" w:color="666666" w:sz="2" w:space="0"/>
        <w:insideV w:val="single" w:color="666666" w:sz="2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Grid Table 2 Accent 1"/>
    <w:qFormat/>
    <w:uiPriority w:val="99"/>
    <w:pPr>
      <w:jc w:val="both"/>
    </w:pPr>
    <w:tblPr>
      <w:tblBorders>
        <w:top w:val="single" w:color="9CC2E5" w:sz="2" w:space="0"/>
        <w:bottom w:val="single" w:color="9CC2E5" w:sz="2" w:space="0"/>
        <w:insideH w:val="single" w:color="9CC2E5" w:sz="2" w:space="0"/>
        <w:insideV w:val="single" w:color="9CC2E5" w:sz="2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Grid Table 2 Accent 2"/>
    <w:qFormat/>
    <w:uiPriority w:val="99"/>
    <w:pPr>
      <w:jc w:val="both"/>
    </w:pPr>
    <w:tblPr>
      <w:tblBorders>
        <w:top w:val="single" w:color="F4B083" w:sz="2" w:space="0"/>
        <w:bottom w:val="single" w:color="F4B083" w:sz="2" w:space="0"/>
        <w:insideH w:val="single" w:color="F4B083" w:sz="2" w:space="0"/>
        <w:insideV w:val="single" w:color="F4B083" w:sz="2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Grid Table 2 Accent 3"/>
    <w:qFormat/>
    <w:uiPriority w:val="99"/>
    <w:pPr>
      <w:jc w:val="both"/>
    </w:pPr>
    <w:tblPr>
      <w:tblBorders>
        <w:top w:val="single" w:color="C9C9C9" w:sz="2" w:space="0"/>
        <w:bottom w:val="single" w:color="C9C9C9" w:sz="2" w:space="0"/>
        <w:insideH w:val="single" w:color="C9C9C9" w:sz="2" w:space="0"/>
        <w:insideV w:val="single" w:color="C9C9C9" w:sz="2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">
    <w:name w:val="Grid Table 2 Accent 4"/>
    <w:qFormat/>
    <w:uiPriority w:val="99"/>
    <w:pPr>
      <w:jc w:val="both"/>
    </w:pPr>
    <w:tblPr>
      <w:tblBorders>
        <w:top w:val="single" w:color="FFD966" w:sz="2" w:space="0"/>
        <w:bottom w:val="single" w:color="FFD966" w:sz="2" w:space="0"/>
        <w:insideH w:val="single" w:color="FFD966" w:sz="2" w:space="0"/>
        <w:insideV w:val="single" w:color="FFD966" w:sz="2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Grid Table 2 Accent 5"/>
    <w:qFormat/>
    <w:uiPriority w:val="99"/>
    <w:pPr>
      <w:jc w:val="both"/>
    </w:pPr>
    <w:tblPr>
      <w:tblBorders>
        <w:top w:val="single" w:color="8EAADB" w:sz="2" w:space="0"/>
        <w:bottom w:val="single" w:color="8EAADB" w:sz="2" w:space="0"/>
        <w:insideH w:val="single" w:color="8EAADB" w:sz="2" w:space="0"/>
        <w:insideV w:val="single" w:color="8EAADB" w:sz="2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Grid Table 2 Accent 6"/>
    <w:qFormat/>
    <w:uiPriority w:val="99"/>
    <w:pPr>
      <w:jc w:val="both"/>
    </w:pPr>
    <w:tblPr>
      <w:tblBorders>
        <w:top w:val="single" w:color="A8D08D" w:sz="2" w:space="0"/>
        <w:bottom w:val="single" w:color="A8D08D" w:sz="2" w:space="0"/>
        <w:insideH w:val="single" w:color="A8D08D" w:sz="2" w:space="0"/>
        <w:insideV w:val="single" w:color="A8D08D" w:sz="2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Grid Table 3"/>
    <w:qFormat/>
    <w:uiPriority w:val="99"/>
    <w:tblPr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Grid Table 3 Accent 1"/>
    <w:qFormat/>
    <w:uiPriority w:val="99"/>
    <w:tblPr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  <w:insideV w:val="single" w:color="9CC2E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Grid Table 3 Accent 2"/>
    <w:qFormat/>
    <w:uiPriority w:val="99"/>
    <w:tblPr>
      <w:tblBorders>
        <w:top w:val="single" w:color="F4B083" w:sz="4" w:space="0"/>
        <w:left w:val="single" w:color="F4B083" w:sz="4" w:space="0"/>
        <w:bottom w:val="single" w:color="F4B083" w:sz="4" w:space="0"/>
        <w:right w:val="single" w:color="F4B083" w:sz="4" w:space="0"/>
        <w:insideH w:val="single" w:color="F4B083" w:sz="4" w:space="0"/>
        <w:insideV w:val="single" w:color="F4B083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Grid Table 3 Accent 3"/>
    <w:qFormat/>
    <w:uiPriority w:val="99"/>
    <w:tblPr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  <w:insideH w:val="single" w:color="C9C9C9" w:sz="4" w:space="0"/>
        <w:insideV w:val="single" w:color="C9C9C9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Grid Table 3 Accent 4"/>
    <w:qFormat/>
    <w:uiPriority w:val="99"/>
    <w:tblPr>
      <w:tblBorders>
        <w:top w:val="single" w:color="FFD966" w:sz="4" w:space="0"/>
        <w:left w:val="single" w:color="FFD966" w:sz="4" w:space="0"/>
        <w:bottom w:val="single" w:color="FFD966" w:sz="4" w:space="0"/>
        <w:right w:val="single" w:color="FFD966" w:sz="4" w:space="0"/>
        <w:insideH w:val="single" w:color="FFD966" w:sz="4" w:space="0"/>
        <w:insideV w:val="single" w:color="FFD9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Grid Table 3 Accent 5"/>
    <w:qFormat/>
    <w:uiPriority w:val="99"/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">
    <w:name w:val="Grid Table 3 Accent 6"/>
    <w:qFormat/>
    <w:uiPriority w:val="99"/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">
    <w:name w:val="Grid Table 4"/>
    <w:qFormat/>
    <w:uiPriority w:val="99"/>
    <w:pPr>
      <w:jc w:val="both"/>
    </w:pPr>
    <w:tblPr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">
    <w:name w:val="Grid Table 4 Accent 1"/>
    <w:qFormat/>
    <w:uiPriority w:val="99"/>
    <w:pPr>
      <w:jc w:val="both"/>
    </w:pPr>
    <w:tblPr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  <w:insideV w:val="single" w:color="9CC2E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Grid Table 4 Accent 2"/>
    <w:qFormat/>
    <w:uiPriority w:val="99"/>
    <w:pPr>
      <w:jc w:val="both"/>
    </w:pPr>
    <w:tblPr>
      <w:tblBorders>
        <w:top w:val="single" w:color="F4B083" w:sz="4" w:space="0"/>
        <w:left w:val="single" w:color="F4B083" w:sz="4" w:space="0"/>
        <w:bottom w:val="single" w:color="F4B083" w:sz="4" w:space="0"/>
        <w:right w:val="single" w:color="F4B083" w:sz="4" w:space="0"/>
        <w:insideH w:val="single" w:color="F4B083" w:sz="4" w:space="0"/>
        <w:insideV w:val="single" w:color="F4B083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Grid Table 4 Accent 3"/>
    <w:qFormat/>
    <w:uiPriority w:val="99"/>
    <w:pPr>
      <w:jc w:val="both"/>
    </w:pPr>
    <w:tblPr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  <w:insideH w:val="single" w:color="C9C9C9" w:sz="4" w:space="0"/>
        <w:insideV w:val="single" w:color="C9C9C9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Grid Table 4 Accent 4"/>
    <w:qFormat/>
    <w:uiPriority w:val="99"/>
    <w:pPr>
      <w:jc w:val="both"/>
    </w:pPr>
    <w:tblPr>
      <w:tblBorders>
        <w:top w:val="single" w:color="FFD966" w:sz="4" w:space="0"/>
        <w:left w:val="single" w:color="FFD966" w:sz="4" w:space="0"/>
        <w:bottom w:val="single" w:color="FFD966" w:sz="4" w:space="0"/>
        <w:right w:val="single" w:color="FFD966" w:sz="4" w:space="0"/>
        <w:insideH w:val="single" w:color="FFD966" w:sz="4" w:space="0"/>
        <w:insideV w:val="single" w:color="FFD9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Grid Table 4 Accent 5"/>
    <w:qFormat/>
    <w:uiPriority w:val="99"/>
    <w:pPr>
      <w:jc w:val="both"/>
    </w:pPr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Grid Table 4 Accent 6"/>
    <w:qFormat/>
    <w:uiPriority w:val="99"/>
    <w:pPr>
      <w:jc w:val="both"/>
    </w:p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Grid Table 5 Dark"/>
    <w:qFormat/>
    <w:uiPriority w:val="99"/>
    <w:pPr>
      <w:jc w:val="both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CCCCCC"/>
    </w:tcPr>
  </w:style>
  <w:style w:type="table" w:customStyle="1" w:styleId="87">
    <w:name w:val="Grid Table 5 Dark Accent 1"/>
    <w:qFormat/>
    <w:uiPriority w:val="99"/>
    <w:pPr>
      <w:jc w:val="both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DEEAF6"/>
    </w:tcPr>
  </w:style>
  <w:style w:type="table" w:customStyle="1" w:styleId="88">
    <w:name w:val="Grid Table 5 Dark Accent 2"/>
    <w:qFormat/>
    <w:uiPriority w:val="99"/>
    <w:pPr>
      <w:jc w:val="both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FBE4D5"/>
    </w:tcPr>
  </w:style>
  <w:style w:type="table" w:customStyle="1" w:styleId="89">
    <w:name w:val="Grid Table 5 Dark Accent 3"/>
    <w:qFormat/>
    <w:uiPriority w:val="99"/>
    <w:pPr>
      <w:jc w:val="both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EDEDED"/>
    </w:tcPr>
  </w:style>
  <w:style w:type="table" w:customStyle="1" w:styleId="90">
    <w:name w:val="Grid Table 5 Dark Accent 4"/>
    <w:qFormat/>
    <w:uiPriority w:val="99"/>
    <w:pPr>
      <w:jc w:val="both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FFF2CC"/>
    </w:tcPr>
  </w:style>
  <w:style w:type="table" w:customStyle="1" w:styleId="91">
    <w:name w:val="Grid Table 5 Dark Accent 5"/>
    <w:qFormat/>
    <w:uiPriority w:val="99"/>
    <w:pPr>
      <w:jc w:val="both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D9E2F3"/>
    </w:tcPr>
  </w:style>
  <w:style w:type="table" w:customStyle="1" w:styleId="92">
    <w:name w:val="Grid Table 5 Dark Accent 6"/>
    <w:qFormat/>
    <w:uiPriority w:val="99"/>
    <w:pPr>
      <w:jc w:val="both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E2EFD9"/>
    </w:tcPr>
  </w:style>
  <w:style w:type="table" w:customStyle="1" w:styleId="93">
    <w:name w:val="Grid Table 6 Colorful"/>
    <w:qFormat/>
    <w:uiPriority w:val="99"/>
    <w:pPr>
      <w:jc w:val="both"/>
    </w:pPr>
    <w:rPr>
      <w:color w:val="000000"/>
    </w:rPr>
    <w:tblPr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Grid Table 6 Colorful Accent 1"/>
    <w:qFormat/>
    <w:uiPriority w:val="99"/>
    <w:pPr>
      <w:jc w:val="both"/>
    </w:pPr>
    <w:rPr>
      <w:color w:val="3583CB"/>
    </w:rPr>
    <w:tblPr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  <w:insideV w:val="single" w:color="9CC2E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">
    <w:name w:val="Grid Table 6 Colorful Accent 2"/>
    <w:qFormat/>
    <w:uiPriority w:val="99"/>
    <w:pPr>
      <w:jc w:val="both"/>
    </w:pPr>
    <w:rPr>
      <w:color w:val="DE6513"/>
    </w:rPr>
    <w:tblPr>
      <w:tblBorders>
        <w:top w:val="single" w:color="F4B083" w:sz="4" w:space="0"/>
        <w:left w:val="single" w:color="F4B083" w:sz="4" w:space="0"/>
        <w:bottom w:val="single" w:color="F4B083" w:sz="4" w:space="0"/>
        <w:right w:val="single" w:color="F4B083" w:sz="4" w:space="0"/>
        <w:insideH w:val="single" w:color="F4B083" w:sz="4" w:space="0"/>
        <w:insideV w:val="single" w:color="F4B083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">
    <w:name w:val="Grid Table 6 Colorful Accent 3"/>
    <w:qFormat/>
    <w:uiPriority w:val="99"/>
    <w:pPr>
      <w:jc w:val="both"/>
    </w:pPr>
    <w:rPr>
      <w:color w:val="8B8B8B"/>
    </w:rPr>
    <w:tblPr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  <w:insideH w:val="single" w:color="C9C9C9" w:sz="4" w:space="0"/>
        <w:insideV w:val="single" w:color="C9C9C9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">
    <w:name w:val="Grid Table 6 Colorful Accent 4"/>
    <w:qFormat/>
    <w:uiPriority w:val="99"/>
    <w:pPr>
      <w:jc w:val="both"/>
    </w:pPr>
    <w:rPr>
      <w:color w:val="D8A200"/>
    </w:rPr>
    <w:tblPr>
      <w:tblBorders>
        <w:top w:val="single" w:color="FFD966" w:sz="4" w:space="0"/>
        <w:left w:val="single" w:color="FFD966" w:sz="4" w:space="0"/>
        <w:bottom w:val="single" w:color="FFD966" w:sz="4" w:space="0"/>
        <w:right w:val="single" w:color="FFD966" w:sz="4" w:space="0"/>
        <w:insideH w:val="single" w:color="FFD966" w:sz="4" w:space="0"/>
        <w:insideV w:val="single" w:color="FFD9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">
    <w:name w:val="Grid Table 6 Colorful Accent 5"/>
    <w:qFormat/>
    <w:uiPriority w:val="99"/>
    <w:pPr>
      <w:jc w:val="both"/>
    </w:pPr>
    <w:rPr>
      <w:color w:val="355FA9"/>
    </w:rPr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">
    <w:name w:val="Grid Table 6 Colorful Accent 6"/>
    <w:qFormat/>
    <w:uiPriority w:val="99"/>
    <w:pPr>
      <w:jc w:val="both"/>
    </w:pPr>
    <w:rPr>
      <w:color w:val="5E923C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Grid Table 7 Colorful"/>
    <w:qFormat/>
    <w:uiPriority w:val="99"/>
    <w:rPr>
      <w:color w:val="000000"/>
    </w:rPr>
    <w:tblPr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Grid Table 7 Colorful Accent 1"/>
    <w:qFormat/>
    <w:uiPriority w:val="99"/>
    <w:rPr>
      <w:color w:val="3583CB"/>
    </w:rPr>
    <w:tblPr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  <w:insideV w:val="single" w:color="9CC2E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Grid Table 7 Colorful Accent 2"/>
    <w:qFormat/>
    <w:uiPriority w:val="99"/>
    <w:rPr>
      <w:color w:val="DE6513"/>
    </w:rPr>
    <w:tblPr>
      <w:tblBorders>
        <w:top w:val="single" w:color="F4B083" w:sz="4" w:space="0"/>
        <w:left w:val="single" w:color="F4B083" w:sz="4" w:space="0"/>
        <w:bottom w:val="single" w:color="F4B083" w:sz="4" w:space="0"/>
        <w:right w:val="single" w:color="F4B083" w:sz="4" w:space="0"/>
        <w:insideH w:val="single" w:color="F4B083" w:sz="4" w:space="0"/>
        <w:insideV w:val="single" w:color="F4B083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Grid Table 7 Colorful Accent 3"/>
    <w:qFormat/>
    <w:uiPriority w:val="99"/>
    <w:rPr>
      <w:color w:val="8B8B8B"/>
    </w:rPr>
    <w:tblPr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  <w:insideH w:val="single" w:color="C9C9C9" w:sz="4" w:space="0"/>
        <w:insideV w:val="single" w:color="C9C9C9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Grid Table 7 Colorful Accent 4"/>
    <w:qFormat/>
    <w:uiPriority w:val="99"/>
    <w:rPr>
      <w:color w:val="D8A200"/>
    </w:rPr>
    <w:tblPr>
      <w:tblBorders>
        <w:top w:val="single" w:color="FFD966" w:sz="4" w:space="0"/>
        <w:left w:val="single" w:color="FFD966" w:sz="4" w:space="0"/>
        <w:bottom w:val="single" w:color="FFD966" w:sz="4" w:space="0"/>
        <w:right w:val="single" w:color="FFD966" w:sz="4" w:space="0"/>
        <w:insideH w:val="single" w:color="FFD966" w:sz="4" w:space="0"/>
        <w:insideV w:val="single" w:color="FFD9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">
    <w:name w:val="Grid Table 7 Colorful Accent 5"/>
    <w:qFormat/>
    <w:uiPriority w:val="99"/>
    <w:rPr>
      <w:color w:val="355FA9"/>
    </w:rPr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">
    <w:name w:val="Grid Table 7 Colorful Accent 6"/>
    <w:uiPriority w:val="99"/>
    <w:rPr>
      <w:color w:val="5E923C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">
    <w:name w:val="List Table 1 Light"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">
    <w:name w:val="List Table 1 Light Accent 1"/>
    <w:qFormat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">
    <w:name w:val="List Table 1 Light Accent 2"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List Table 1 Light Accent 3"/>
    <w:qFormat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List Table 1 Light Accent 4"/>
    <w:qFormat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List Table 1 Light Accent 5"/>
    <w:qFormat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List Table 1 Light Accent 6"/>
    <w:qFormat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List Table 2"/>
    <w:qFormat/>
    <w:uiPriority w:val="99"/>
    <w:pPr>
      <w:jc w:val="both"/>
    </w:pPr>
    <w:tblPr>
      <w:tblBorders>
        <w:top w:val="single" w:color="666666" w:sz="4" w:space="0"/>
        <w:bottom w:val="single" w:color="666666" w:sz="4" w:space="0"/>
        <w:insideH w:val="single" w:color="6666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List Table 2 Accent 1"/>
    <w:qFormat/>
    <w:uiPriority w:val="99"/>
    <w:pPr>
      <w:jc w:val="both"/>
    </w:pPr>
    <w:tblPr>
      <w:tblBorders>
        <w:top w:val="single" w:color="9CC2E5" w:sz="4" w:space="0"/>
        <w:bottom w:val="single" w:color="9CC2E5" w:sz="4" w:space="0"/>
        <w:insideH w:val="single" w:color="9CC2E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List Table 2 Accent 2"/>
    <w:qFormat/>
    <w:uiPriority w:val="99"/>
    <w:pPr>
      <w:jc w:val="both"/>
    </w:pPr>
    <w:tblPr>
      <w:tblBorders>
        <w:top w:val="single" w:color="F4B083" w:sz="4" w:space="0"/>
        <w:bottom w:val="single" w:color="F4B083" w:sz="4" w:space="0"/>
        <w:insideH w:val="single" w:color="F4B083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List Table 2 Accent 3"/>
    <w:qFormat/>
    <w:uiPriority w:val="99"/>
    <w:pPr>
      <w:jc w:val="both"/>
    </w:pPr>
    <w:tblPr>
      <w:tblBorders>
        <w:top w:val="single" w:color="C9C9C9" w:sz="4" w:space="0"/>
        <w:bottom w:val="single" w:color="C9C9C9" w:sz="4" w:space="0"/>
        <w:insideH w:val="single" w:color="C9C9C9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List Table 2 Accent 4"/>
    <w:qFormat/>
    <w:uiPriority w:val="99"/>
    <w:pPr>
      <w:jc w:val="both"/>
    </w:pPr>
    <w:tblPr>
      <w:tblBorders>
        <w:top w:val="single" w:color="FFD966" w:sz="4" w:space="0"/>
        <w:bottom w:val="single" w:color="FFD966" w:sz="4" w:space="0"/>
        <w:insideH w:val="single" w:color="FFD9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List Table 2 Accent 5"/>
    <w:qFormat/>
    <w:uiPriority w:val="99"/>
    <w:pPr>
      <w:jc w:val="both"/>
    </w:pPr>
    <w:tblPr>
      <w:tblBorders>
        <w:top w:val="single" w:color="8EAADB" w:sz="4" w:space="0"/>
        <w:bottom w:val="single" w:color="8EAADB" w:sz="4" w:space="0"/>
        <w:insideH w:val="single" w:color="8EAA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List Table 2 Accent 6"/>
    <w:qFormat/>
    <w:uiPriority w:val="99"/>
    <w:pPr>
      <w:jc w:val="both"/>
    </w:pPr>
    <w:tblPr>
      <w:tblBorders>
        <w:top w:val="single" w:color="A8D08D" w:sz="4" w:space="0"/>
        <w:bottom w:val="single" w:color="A8D08D" w:sz="4" w:space="0"/>
        <w:insideH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List Table 3"/>
    <w:qFormat/>
    <w:uiPriority w:val="99"/>
    <w:pPr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List Table 3 Accent 1"/>
    <w:qFormat/>
    <w:uiPriority w:val="99"/>
    <w:pPr>
      <w:jc w:val="both"/>
    </w:pPr>
    <w:tblPr>
      <w:tblBorders>
        <w:top w:val="single" w:color="5B9BD5" w:sz="4" w:space="0"/>
        <w:left w:val="single" w:color="5B9BD5" w:sz="4" w:space="0"/>
        <w:bottom w:val="single" w:color="5B9BD5" w:sz="4" w:space="0"/>
        <w:right w:val="single" w:color="5B9BD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List Table 3 Accent 2"/>
    <w:qFormat/>
    <w:uiPriority w:val="99"/>
    <w:pPr>
      <w:jc w:val="both"/>
    </w:p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List Table 3 Accent 3"/>
    <w:qFormat/>
    <w:uiPriority w:val="99"/>
    <w:pPr>
      <w:jc w:val="both"/>
    </w:pPr>
    <w:tblPr>
      <w:tblBorders>
        <w:top w:val="single" w:color="A5A5A5" w:sz="4" w:space="0"/>
        <w:left w:val="single" w:color="A5A5A5" w:sz="4" w:space="0"/>
        <w:bottom w:val="single" w:color="A5A5A5" w:sz="4" w:space="0"/>
        <w:right w:val="single" w:color="A5A5A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List Table 3 Accent 4"/>
    <w:qFormat/>
    <w:uiPriority w:val="99"/>
    <w:pPr>
      <w:jc w:val="both"/>
    </w:pPr>
    <w:tblPr>
      <w:tblBorders>
        <w:top w:val="single" w:color="FFC000" w:sz="4" w:space="0"/>
        <w:left w:val="single" w:color="FFC000" w:sz="4" w:space="0"/>
        <w:bottom w:val="single" w:color="FFC000" w:sz="4" w:space="0"/>
        <w:right w:val="single" w:color="FFC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List Table 3 Accent 5"/>
    <w:qFormat/>
    <w:uiPriority w:val="99"/>
    <w:pPr>
      <w:jc w:val="both"/>
    </w:pPr>
    <w:tblPr>
      <w:tblBorders>
        <w:top w:val="single" w:color="4472C4" w:sz="4" w:space="0"/>
        <w:left w:val="single" w:color="4472C4" w:sz="4" w:space="0"/>
        <w:bottom w:val="single" w:color="4472C4" w:sz="4" w:space="0"/>
        <w:right w:val="single" w:color="4472C4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List Table 3 Accent 6"/>
    <w:qFormat/>
    <w:uiPriority w:val="99"/>
    <w:pPr>
      <w:jc w:val="both"/>
    </w:pPr>
    <w:tblPr>
      <w:tblBorders>
        <w:top w:val="single" w:color="70AD47" w:sz="4" w:space="0"/>
        <w:left w:val="single" w:color="70AD47" w:sz="4" w:space="0"/>
        <w:bottom w:val="single" w:color="70AD47" w:sz="4" w:space="0"/>
        <w:right w:val="single" w:color="70AD47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List Table 4"/>
    <w:qFormat/>
    <w:uiPriority w:val="99"/>
    <w:pPr>
      <w:jc w:val="both"/>
    </w:pPr>
    <w:tblPr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List Table 4 Accent 1"/>
    <w:qFormat/>
    <w:uiPriority w:val="99"/>
    <w:pPr>
      <w:jc w:val="both"/>
    </w:pPr>
    <w:tblPr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List Table 4 Accent 2"/>
    <w:qFormat/>
    <w:uiPriority w:val="99"/>
    <w:pPr>
      <w:jc w:val="both"/>
    </w:pPr>
    <w:tblPr>
      <w:tblBorders>
        <w:top w:val="single" w:color="F4B083" w:sz="4" w:space="0"/>
        <w:left w:val="single" w:color="F4B083" w:sz="4" w:space="0"/>
        <w:bottom w:val="single" w:color="F4B083" w:sz="4" w:space="0"/>
        <w:right w:val="single" w:color="F4B083" w:sz="4" w:space="0"/>
        <w:insideH w:val="single" w:color="F4B083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List Table 4 Accent 3"/>
    <w:qFormat/>
    <w:uiPriority w:val="99"/>
    <w:pPr>
      <w:jc w:val="both"/>
    </w:pPr>
    <w:tblPr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  <w:insideH w:val="single" w:color="C9C9C9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List Table 4 Accent 4"/>
    <w:qFormat/>
    <w:uiPriority w:val="99"/>
    <w:pPr>
      <w:jc w:val="both"/>
    </w:pPr>
    <w:tblPr>
      <w:tblBorders>
        <w:top w:val="single" w:color="FFD966" w:sz="4" w:space="0"/>
        <w:left w:val="single" w:color="FFD966" w:sz="4" w:space="0"/>
        <w:bottom w:val="single" w:color="FFD966" w:sz="4" w:space="0"/>
        <w:right w:val="single" w:color="FFD966" w:sz="4" w:space="0"/>
        <w:insideH w:val="single" w:color="FFD9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List Table 4 Accent 5"/>
    <w:qFormat/>
    <w:uiPriority w:val="99"/>
    <w:pPr>
      <w:jc w:val="both"/>
    </w:pPr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List Table 4 Accent 6"/>
    <w:qFormat/>
    <w:uiPriority w:val="99"/>
    <w:pPr>
      <w:jc w:val="both"/>
    </w:p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List Table 5"/>
    <w:qFormat/>
    <w:uiPriority w:val="99"/>
    <w:pPr>
      <w:jc w:val="both"/>
    </w:pPr>
    <w:rPr>
      <w:color w:val="FFFFFF"/>
    </w:rPr>
    <w:tblPr>
      <w:tblBorders>
        <w:top w:val="single" w:color="000000" w:sz="24" w:space="0"/>
        <w:left w:val="single" w:color="000000" w:sz="24" w:space="0"/>
        <w:bottom w:val="single" w:color="000000" w:sz="24" w:space="0"/>
        <w:right w:val="single" w:color="000000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000000"/>
    </w:tcPr>
  </w:style>
  <w:style w:type="table" w:customStyle="1" w:styleId="136">
    <w:name w:val="List Table 5 Accent 1"/>
    <w:qFormat/>
    <w:uiPriority w:val="99"/>
    <w:pPr>
      <w:jc w:val="both"/>
    </w:pPr>
    <w:rPr>
      <w:color w:val="FFFFFF"/>
    </w:rPr>
    <w:tblPr>
      <w:tblBorders>
        <w:top w:val="single" w:color="5B9BD5" w:sz="24" w:space="0"/>
        <w:left w:val="single" w:color="5B9BD5" w:sz="24" w:space="0"/>
        <w:bottom w:val="single" w:color="5B9BD5" w:sz="24" w:space="0"/>
        <w:right w:val="single" w:color="5B9BD5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5B9BD5"/>
    </w:tcPr>
  </w:style>
  <w:style w:type="table" w:customStyle="1" w:styleId="137">
    <w:name w:val="List Table 5 Accent 2"/>
    <w:qFormat/>
    <w:uiPriority w:val="99"/>
    <w:pPr>
      <w:jc w:val="both"/>
    </w:pPr>
    <w:rPr>
      <w:color w:val="FFFFFF"/>
    </w:rPr>
    <w:tblPr>
      <w:tblBorders>
        <w:top w:val="single" w:color="ED7D31" w:sz="24" w:space="0"/>
        <w:left w:val="single" w:color="ED7D31" w:sz="24" w:space="0"/>
        <w:bottom w:val="single" w:color="ED7D31" w:sz="24" w:space="0"/>
        <w:right w:val="single" w:color="ED7D31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ED7D31"/>
    </w:tcPr>
  </w:style>
  <w:style w:type="table" w:customStyle="1" w:styleId="138">
    <w:name w:val="List Table 5 Accent 3"/>
    <w:qFormat/>
    <w:uiPriority w:val="99"/>
    <w:pPr>
      <w:jc w:val="both"/>
    </w:pPr>
    <w:rPr>
      <w:color w:val="FFFFFF"/>
    </w:rPr>
    <w:tblPr>
      <w:tblBorders>
        <w:top w:val="single" w:color="A5A5A5" w:sz="24" w:space="0"/>
        <w:left w:val="single" w:color="A5A5A5" w:sz="24" w:space="0"/>
        <w:bottom w:val="single" w:color="A5A5A5" w:sz="24" w:space="0"/>
        <w:right w:val="single" w:color="A5A5A5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A5A5A5"/>
    </w:tcPr>
  </w:style>
  <w:style w:type="table" w:customStyle="1" w:styleId="139">
    <w:name w:val="List Table 5 Accent 4"/>
    <w:qFormat/>
    <w:uiPriority w:val="99"/>
    <w:pPr>
      <w:jc w:val="both"/>
    </w:pPr>
    <w:rPr>
      <w:color w:val="FFFFFF"/>
    </w:rPr>
    <w:tblPr>
      <w:tblBorders>
        <w:top w:val="single" w:color="FFC000" w:sz="24" w:space="0"/>
        <w:left w:val="single" w:color="FFC000" w:sz="24" w:space="0"/>
        <w:bottom w:val="single" w:color="FFC000" w:sz="24" w:space="0"/>
        <w:right w:val="single" w:color="FFC000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FFC000"/>
    </w:tcPr>
  </w:style>
  <w:style w:type="table" w:customStyle="1" w:styleId="140">
    <w:name w:val="List Table 5 Accent 5"/>
    <w:qFormat/>
    <w:uiPriority w:val="99"/>
    <w:pPr>
      <w:jc w:val="both"/>
    </w:pPr>
    <w:rPr>
      <w:color w:val="FFFFFF"/>
    </w:rPr>
    <w:tblPr>
      <w:tblBorders>
        <w:top w:val="single" w:color="4472C4" w:sz="24" w:space="0"/>
        <w:left w:val="single" w:color="4472C4" w:sz="24" w:space="0"/>
        <w:bottom w:val="single" w:color="4472C4" w:sz="24" w:space="0"/>
        <w:right w:val="single" w:color="4472C4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4472C4"/>
    </w:tcPr>
  </w:style>
  <w:style w:type="table" w:customStyle="1" w:styleId="141">
    <w:name w:val="List Table 5 Accent 6"/>
    <w:qFormat/>
    <w:uiPriority w:val="99"/>
    <w:pPr>
      <w:jc w:val="both"/>
    </w:pPr>
    <w:rPr>
      <w:color w:val="FFFFFF"/>
    </w:rPr>
    <w:tblPr>
      <w:tblBorders>
        <w:top w:val="single" w:color="70AD47" w:sz="24" w:space="0"/>
        <w:left w:val="single" w:color="70AD47" w:sz="24" w:space="0"/>
        <w:bottom w:val="single" w:color="70AD47" w:sz="24" w:space="0"/>
        <w:right w:val="single" w:color="70AD47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70AD47"/>
    </w:tcPr>
  </w:style>
  <w:style w:type="table" w:customStyle="1" w:styleId="142">
    <w:name w:val="List Table 6 Colorful"/>
    <w:qFormat/>
    <w:uiPriority w:val="99"/>
    <w:pPr>
      <w:jc w:val="both"/>
    </w:pPr>
    <w:rPr>
      <w:color w:val="000000"/>
    </w:rPr>
    <w:tblPr>
      <w:tblBorders>
        <w:top w:val="single" w:color="000000" w:sz="4" w:space="0"/>
        <w:bottom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List Table 6 Colorful Accent 1"/>
    <w:qFormat/>
    <w:uiPriority w:val="99"/>
    <w:pPr>
      <w:jc w:val="both"/>
    </w:pPr>
    <w:rPr>
      <w:color w:val="5B9BD5"/>
    </w:rPr>
    <w:tblPr>
      <w:tblBorders>
        <w:top w:val="single" w:color="5B9BD5" w:sz="4" w:space="0"/>
        <w:bottom w:val="single" w:color="5B9BD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List Table 6 Colorful Accent 2"/>
    <w:qFormat/>
    <w:uiPriority w:val="99"/>
    <w:pPr>
      <w:jc w:val="both"/>
    </w:pPr>
    <w:rPr>
      <w:color w:val="ED7D31"/>
    </w:rPr>
    <w:tblPr>
      <w:tblBorders>
        <w:top w:val="single" w:color="ED7D31" w:sz="4" w:space="0"/>
        <w:bottom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List Table 6 Colorful Accent 3"/>
    <w:qFormat/>
    <w:uiPriority w:val="99"/>
    <w:pPr>
      <w:jc w:val="both"/>
    </w:pPr>
    <w:rPr>
      <w:color w:val="A5A5A5"/>
    </w:rPr>
    <w:tblPr>
      <w:tblBorders>
        <w:top w:val="single" w:color="A5A5A5" w:sz="4" w:space="0"/>
        <w:bottom w:val="single" w:color="A5A5A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List Table 6 Colorful Accent 4"/>
    <w:qFormat/>
    <w:uiPriority w:val="99"/>
    <w:pPr>
      <w:jc w:val="both"/>
    </w:pPr>
    <w:rPr>
      <w:color w:val="FFC000"/>
    </w:rPr>
    <w:tblPr>
      <w:tblBorders>
        <w:top w:val="single" w:color="FFC000" w:sz="4" w:space="0"/>
        <w:bottom w:val="single" w:color="FFC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List Table 6 Colorful Accent 5"/>
    <w:uiPriority w:val="99"/>
    <w:pPr>
      <w:jc w:val="both"/>
    </w:pPr>
    <w:rPr>
      <w:color w:val="4472C4"/>
    </w:rPr>
    <w:tblPr>
      <w:tblBorders>
        <w:top w:val="single" w:color="4472C4" w:sz="4" w:space="0"/>
        <w:bottom w:val="single" w:color="4472C4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List Table 6 Colorful Accent 6"/>
    <w:qFormat/>
    <w:uiPriority w:val="99"/>
    <w:pPr>
      <w:jc w:val="both"/>
    </w:pPr>
    <w:rPr>
      <w:color w:val="70AD47"/>
    </w:rPr>
    <w:tblPr>
      <w:tblBorders>
        <w:top w:val="single" w:color="70AD47" w:sz="4" w:space="0"/>
        <w:bottom w:val="single" w:color="70AD47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List Table 7 Colorful"/>
    <w:qFormat/>
    <w:uiPriority w:val="99"/>
    <w:rPr>
      <w:color w:val="00000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List Table 7 Colorful Accent 1"/>
    <w:qFormat/>
    <w:uiPriority w:val="99"/>
    <w:rPr>
      <w:color w:val="3583C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List Table 7 Colorful Accent 2"/>
    <w:qFormat/>
    <w:uiPriority w:val="99"/>
    <w:rPr>
      <w:color w:val="DE6513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List Table 7 Colorful Accent 3"/>
    <w:qFormat/>
    <w:uiPriority w:val="99"/>
    <w:rPr>
      <w:color w:val="8B8B8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List Table 7 Colorful Accent 4"/>
    <w:qFormat/>
    <w:uiPriority w:val="99"/>
    <w:rPr>
      <w:color w:val="D8A20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List Table 7 Colorful Accent 5"/>
    <w:qFormat/>
    <w:uiPriority w:val="99"/>
    <w:rPr>
      <w:color w:val="355FA9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List Table 7 Colorful Accent 6"/>
    <w:qFormat/>
    <w:uiPriority w:val="99"/>
    <w:rPr>
      <w:color w:val="5E923C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Calendar1"/>
    <w:qFormat/>
    <w:uiPriority w:val="99"/>
    <w:rPr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Calendar2"/>
    <w:qFormat/>
    <w:uiPriority w:val="99"/>
    <w:pPr>
      <w:jc w:val="center"/>
    </w:pPr>
    <w:rPr>
      <w:sz w:val="28"/>
      <w:szCs w:val="28"/>
    </w:rPr>
    <w:tblPr>
      <w:tblBorders>
        <w:insideV w:val="single" w:color="9CC2E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Calendar3"/>
    <w:qFormat/>
    <w:uiPriority w:val="99"/>
    <w:pPr>
      <w:jc w:val="right"/>
    </w:pPr>
    <w:rPr>
      <w:color w:val="000000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Calendar4"/>
    <w:qFormat/>
    <w:uiPriority w:val="99"/>
    <w:rPr>
      <w:b/>
      <w:bCs/>
      <w:color w:val="FFFFFF"/>
      <w:sz w:val="16"/>
      <w:szCs w:val="16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1F4E7A"/>
    </w:tcPr>
  </w:style>
  <w:style w:type="table" w:customStyle="1" w:styleId="160">
    <w:name w:val="LightShading-Accent1"/>
    <w:uiPriority w:val="99"/>
    <w:rPr>
      <w:color w:val="3583CB"/>
      <w:sz w:val="22"/>
      <w:szCs w:val="22"/>
    </w:rPr>
    <w:tblPr>
      <w:tblBorders>
        <w:top w:val="single" w:color="5B9BD5" w:sz="8" w:space="0"/>
        <w:bottom w:val="single" w:color="5B9BD5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MediumShading2-Accent5"/>
    <w:qFormat/>
    <w:uiPriority w:val="99"/>
    <w:rPr>
      <w:sz w:val="22"/>
      <w:szCs w:val="22"/>
    </w:rPr>
    <w:tblPr>
      <w:tblBorders>
        <w:top w:val="single" w:color="5B9BD5" w:sz="18" w:space="0"/>
        <w:bottom w:val="single" w:color="5B9BD5" w:sz="1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LightList"/>
    <w:qFormat/>
    <w:uiPriority w:val="99"/>
    <w:rPr>
      <w:sz w:val="22"/>
      <w:szCs w:val="22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LightList-Accent3"/>
    <w:qFormat/>
    <w:uiPriority w:val="99"/>
    <w:rPr>
      <w:sz w:val="22"/>
      <w:szCs w:val="22"/>
    </w:rPr>
    <w:tblPr>
      <w:tblBorders>
        <w:top w:val="single" w:color="A5A5A5" w:sz="8" w:space="0"/>
        <w:left w:val="single" w:color="A5A5A5" w:sz="8" w:space="0"/>
        <w:bottom w:val="single" w:color="A5A5A5" w:sz="8" w:space="0"/>
        <w:right w:val="single" w:color="A5A5A5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MediumList2-Accent1"/>
    <w:qFormat/>
    <w:uiPriority w:val="99"/>
    <w:pPr>
      <w:jc w:val="both"/>
    </w:pPr>
    <w:rPr>
      <w:color w:val="000000"/>
      <w:sz w:val="22"/>
      <w:szCs w:val="22"/>
    </w:rPr>
    <w:tblPr>
      <w:tblBorders>
        <w:top w:val="single" w:color="5B9BD5" w:sz="8" w:space="0"/>
        <w:left w:val="single" w:color="5B9BD5" w:sz="8" w:space="0"/>
        <w:bottom w:val="single" w:color="5B9BD5" w:sz="8" w:space="0"/>
        <w:right w:val="single" w:color="5B9BD5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5">
    <w:name w:val="页眉 Char"/>
    <w:basedOn w:val="26"/>
    <w:link w:val="16"/>
    <w:semiHidden/>
    <w:qFormat/>
    <w:uiPriority w:val="99"/>
    <w:rPr>
      <w:sz w:val="18"/>
      <w:szCs w:val="18"/>
    </w:rPr>
  </w:style>
  <w:style w:type="character" w:customStyle="1" w:styleId="166">
    <w:name w:val="页脚 Char"/>
    <w:basedOn w:val="26"/>
    <w:link w:val="1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3B8C44-818F-4C18-B570-C450B6AF80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434</Words>
  <Characters>2477</Characters>
  <Lines>20</Lines>
  <Paragraphs>5</Paragraphs>
  <TotalTime>0</TotalTime>
  <ScaleCrop>false</ScaleCrop>
  <LinksUpToDate>false</LinksUpToDate>
  <CharactersWithSpaces>2906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2019-07-01T09:13:00Z</dcterms:created>
  <dc:creator>Administrator</dc:creator>
  <cp:lastModifiedBy>Elijah</cp:lastModifiedBy>
  <cp:lastPrinted>2019-09-02T08:30:00Z</cp:lastPrinted>
  <dcterms:modified xsi:type="dcterms:W3CDTF">2020-09-24T01:46:13Z</dcterms:modified>
  <dc:title>赤峰学院教师系列专业技术资格评审量化考评细则赋分表（征求意见）</dc:title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