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附件1：</w:t>
      </w:r>
    </w:p>
    <w:p>
      <w:pPr>
        <w:jc w:val="center"/>
        <w:rPr>
          <w:rFonts w:ascii="方正粗宋简体" w:eastAsia="方正粗宋简体"/>
          <w:b/>
          <w:bCs/>
          <w:sz w:val="36"/>
          <w:szCs w:val="32"/>
        </w:rPr>
      </w:pPr>
      <w:r>
        <w:rPr>
          <w:rFonts w:hint="eastAsia" w:ascii="方正粗宋简体" w:eastAsia="方正粗宋简体"/>
          <w:b/>
          <w:bCs/>
          <w:sz w:val="36"/>
          <w:szCs w:val="32"/>
        </w:rPr>
        <w:t>赤峰学院</w:t>
      </w:r>
      <w:r>
        <w:rPr>
          <w:rFonts w:hint="eastAsia" w:ascii="方正粗宋简体" w:hAnsi="宋体" w:eastAsia="方正粗宋简体"/>
          <w:b/>
          <w:bCs/>
          <w:sz w:val="36"/>
          <w:szCs w:val="32"/>
        </w:rPr>
        <w:t>2019年度</w:t>
      </w:r>
      <w:r>
        <w:rPr>
          <w:rFonts w:hint="eastAsia" w:ascii="方正粗宋简体" w:eastAsia="方正粗宋简体"/>
          <w:b/>
          <w:bCs/>
          <w:sz w:val="36"/>
          <w:szCs w:val="32"/>
        </w:rPr>
        <w:t>教</w:t>
      </w:r>
      <w:r>
        <w:rPr>
          <w:rFonts w:hint="eastAsia" w:ascii="方正粗宋简体" w:hAnsi="宋体" w:eastAsia="方正粗宋简体" w:cs="宋体"/>
          <w:b/>
          <w:bCs/>
          <w:sz w:val="36"/>
          <w:szCs w:val="32"/>
        </w:rPr>
        <w:t>师</w:t>
      </w:r>
      <w:r>
        <w:rPr>
          <w:rFonts w:hint="eastAsia" w:ascii="方正粗宋简体" w:eastAsia="方正粗宋简体"/>
          <w:b/>
          <w:bCs/>
          <w:sz w:val="36"/>
          <w:szCs w:val="32"/>
        </w:rPr>
        <w:t>系列</w:t>
      </w:r>
      <w:r>
        <w:rPr>
          <w:rFonts w:hint="eastAsia" w:ascii="方正粗宋简体" w:hAnsi="宋体" w:eastAsia="方正粗宋简体" w:cs="宋体"/>
          <w:b/>
          <w:bCs/>
          <w:sz w:val="36"/>
          <w:szCs w:val="32"/>
        </w:rPr>
        <w:t>专业</w:t>
      </w:r>
      <w:r>
        <w:rPr>
          <w:rFonts w:hint="eastAsia" w:ascii="方正粗宋简体" w:eastAsia="方正粗宋简体"/>
          <w:b/>
          <w:bCs/>
          <w:sz w:val="36"/>
          <w:szCs w:val="32"/>
        </w:rPr>
        <w:t>技</w:t>
      </w:r>
      <w:r>
        <w:rPr>
          <w:rFonts w:hint="eastAsia" w:ascii="方正粗宋简体" w:hAnsi="宋体" w:eastAsia="方正粗宋简体" w:cs="宋体"/>
          <w:b/>
          <w:bCs/>
          <w:sz w:val="36"/>
          <w:szCs w:val="32"/>
        </w:rPr>
        <w:t>术资</w:t>
      </w:r>
      <w:r>
        <w:rPr>
          <w:rFonts w:hint="eastAsia" w:ascii="方正粗宋简体" w:eastAsia="方正粗宋简体"/>
          <w:b/>
          <w:bCs/>
          <w:sz w:val="36"/>
          <w:szCs w:val="32"/>
        </w:rPr>
        <w:t>格</w:t>
      </w:r>
      <w:r>
        <w:rPr>
          <w:rFonts w:hint="eastAsia" w:ascii="方正粗宋简体" w:hAnsi="宋体" w:eastAsia="方正粗宋简体" w:cs="宋体"/>
          <w:b/>
          <w:bCs/>
          <w:sz w:val="36"/>
          <w:szCs w:val="32"/>
        </w:rPr>
        <w:t>评审</w:t>
      </w:r>
      <w:r>
        <w:rPr>
          <w:rFonts w:hint="eastAsia" w:ascii="方正粗宋简体" w:eastAsia="方正粗宋简体"/>
          <w:b/>
          <w:bCs/>
          <w:sz w:val="36"/>
          <w:szCs w:val="32"/>
        </w:rPr>
        <w:t>量化考</w:t>
      </w:r>
      <w:r>
        <w:rPr>
          <w:rFonts w:hint="eastAsia" w:ascii="方正粗宋简体" w:hAnsi="宋体" w:eastAsia="方正粗宋简体" w:cs="宋体"/>
          <w:b/>
          <w:bCs/>
          <w:sz w:val="36"/>
          <w:szCs w:val="32"/>
        </w:rPr>
        <w:t>评细则赋</w:t>
      </w:r>
      <w:r>
        <w:rPr>
          <w:rFonts w:hint="eastAsia" w:ascii="方正粗宋简体" w:eastAsia="方正粗宋简体"/>
          <w:b/>
          <w:bCs/>
          <w:sz w:val="36"/>
          <w:szCs w:val="32"/>
        </w:rPr>
        <w:t>分标准</w:t>
      </w:r>
    </w:p>
    <w:p>
      <w:pPr>
        <w:jc w:val="center"/>
        <w:rPr>
          <w:rFonts w:ascii="方正粗宋简体" w:eastAsia="方正粗宋简体"/>
          <w:b/>
          <w:bCs/>
          <w:sz w:val="36"/>
          <w:szCs w:val="32"/>
        </w:rPr>
      </w:pPr>
      <w:r>
        <w:rPr>
          <w:rFonts w:hint="eastAsia" w:ascii="方正粗宋简体" w:eastAsia="方正粗宋简体"/>
          <w:b/>
          <w:bCs/>
          <w:sz w:val="36"/>
          <w:szCs w:val="32"/>
        </w:rPr>
        <w:t>（人文社会科学、自然科学）</w:t>
      </w:r>
    </w:p>
    <w:p>
      <w:pPr>
        <w:rPr>
          <w:rFonts w:ascii="Calibri"/>
          <w:sz w:val="21"/>
          <w:szCs w:val="21"/>
        </w:rPr>
      </w:pPr>
    </w:p>
    <w:tbl>
      <w:tblPr>
        <w:tblStyle w:val="24"/>
        <w:tblW w:w="1309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1500"/>
        <w:gridCol w:w="1688"/>
        <w:gridCol w:w="13"/>
        <w:gridCol w:w="1965"/>
        <w:gridCol w:w="1154"/>
        <w:gridCol w:w="646"/>
        <w:gridCol w:w="2701"/>
        <w:gridCol w:w="867"/>
        <w:gridCol w:w="17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1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1"/>
                <w:szCs w:val="21"/>
              </w:rPr>
              <w:t>项目</w:t>
            </w:r>
          </w:p>
        </w:tc>
        <w:tc>
          <w:tcPr>
            <w:tcW w:w="966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1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1"/>
                <w:szCs w:val="21"/>
              </w:rPr>
              <w:t>量化评分标准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1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1"/>
                <w:szCs w:val="21"/>
              </w:rPr>
              <w:t>最高分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1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1"/>
                <w:szCs w:val="21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vMerge w:val="restart"/>
            <w:tcBorders>
              <w:top w:val="single" w:color="auto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方正粗宋简体" w:eastAsia="方正粗宋简体"/>
                <w:sz w:val="28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8"/>
                <w:szCs w:val="21"/>
              </w:rPr>
              <w:t>学历</w:t>
            </w:r>
          </w:p>
          <w:p>
            <w:pPr>
              <w:rPr>
                <w:rFonts w:ascii="方正粗宋简体" w:eastAsia="方正粗宋简体"/>
                <w:sz w:val="21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8"/>
                <w:szCs w:val="21"/>
              </w:rPr>
              <w:t>学位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学历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博士后出站人员</w:t>
            </w:r>
          </w:p>
        </w:tc>
        <w:tc>
          <w:tcPr>
            <w:tcW w:w="1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博士研究生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硕士研究生</w:t>
            </w:r>
          </w:p>
        </w:tc>
        <w:tc>
          <w:tcPr>
            <w:tcW w:w="2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本科</w:t>
            </w:r>
          </w:p>
        </w:tc>
        <w:tc>
          <w:tcPr>
            <w:tcW w:w="86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6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分</w:t>
            </w:r>
          </w:p>
        </w:tc>
        <w:tc>
          <w:tcPr>
            <w:tcW w:w="176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学历+学位=分值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vMerge w:val="continue"/>
            <w:tcBorders>
              <w:top w:val="single" w:color="auto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方正粗宋简体" w:eastAsia="方正粗宋简体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分值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4</w:t>
            </w:r>
          </w:p>
        </w:tc>
        <w:tc>
          <w:tcPr>
            <w:tcW w:w="1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3.5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3</w:t>
            </w:r>
          </w:p>
        </w:tc>
        <w:tc>
          <w:tcPr>
            <w:tcW w:w="2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2.5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vMerge w:val="continue"/>
            <w:tcBorders>
              <w:top w:val="single" w:color="auto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方正粗宋简体" w:eastAsia="方正粗宋简体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学位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博士</w:t>
            </w:r>
          </w:p>
        </w:tc>
        <w:tc>
          <w:tcPr>
            <w:tcW w:w="1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硕士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学士</w:t>
            </w:r>
          </w:p>
        </w:tc>
        <w:tc>
          <w:tcPr>
            <w:tcW w:w="2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vMerge w:val="continue"/>
            <w:tcBorders>
              <w:top w:val="single" w:color="auto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方正粗宋简体" w:eastAsia="方正粗宋简体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分值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</w:t>
            </w:r>
          </w:p>
        </w:tc>
        <w:tc>
          <w:tcPr>
            <w:tcW w:w="1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1.5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</w:t>
            </w:r>
          </w:p>
        </w:tc>
        <w:tc>
          <w:tcPr>
            <w:tcW w:w="2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67" w:type="dxa"/>
            <w:vMerge w:val="continue"/>
            <w:tcBorders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97" w:type="dxa"/>
            <w:tcBorders>
              <w:top w:val="single" w:color="auto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方正粗宋简体" w:eastAsia="方正粗宋简体"/>
                <w:sz w:val="21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8"/>
                <w:szCs w:val="21"/>
              </w:rPr>
              <w:t>任职资历</w:t>
            </w:r>
          </w:p>
        </w:tc>
        <w:tc>
          <w:tcPr>
            <w:tcW w:w="9667" w:type="dxa"/>
            <w:gridSpan w:val="7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pacing w:val="-6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pacing w:val="-6"/>
                <w:sz w:val="21"/>
                <w:szCs w:val="21"/>
              </w:rPr>
              <w:t>符合《内蒙古自治区普通高校教师高级专业技术资格评审条件》的资历年限的要求，每超满一年加</w:t>
            </w:r>
            <w:r>
              <w:rPr>
                <w:rFonts w:ascii="仿宋" w:hAnsi="仿宋" w:eastAsia="仿宋"/>
                <w:spacing w:val="-6"/>
                <w:sz w:val="21"/>
                <w:szCs w:val="21"/>
              </w:rPr>
              <w:t>0.5</w:t>
            </w:r>
            <w:r>
              <w:rPr>
                <w:rFonts w:hint="eastAsia" w:ascii="仿宋" w:hAnsi="仿宋" w:eastAsia="仿宋" w:cs="宋体"/>
                <w:spacing w:val="-6"/>
                <w:sz w:val="21"/>
                <w:szCs w:val="21"/>
              </w:rPr>
              <w:t>分。</w:t>
            </w:r>
          </w:p>
        </w:tc>
        <w:tc>
          <w:tcPr>
            <w:tcW w:w="867" w:type="dxa"/>
            <w:tcBorders>
              <w:top w:val="single" w:color="auto" w:sz="6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2分</w:t>
            </w:r>
          </w:p>
        </w:tc>
        <w:tc>
          <w:tcPr>
            <w:tcW w:w="1767" w:type="dxa"/>
            <w:tcBorders>
              <w:top w:val="single" w:color="auto" w:sz="6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97" w:type="dxa"/>
            <w:tcBorders>
              <w:top w:val="single" w:color="auto" w:sz="6" w:space="0"/>
              <w:left w:val="single" w:color="000000" w:sz="4" w:space="0"/>
              <w:bottom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方正粗宋简体" w:eastAsia="方正粗宋简体"/>
                <w:sz w:val="21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8"/>
                <w:szCs w:val="21"/>
              </w:rPr>
              <w:t>培训经历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培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训经历</w:t>
            </w:r>
          </w:p>
        </w:tc>
        <w:tc>
          <w:tcPr>
            <w:tcW w:w="8167" w:type="dxa"/>
            <w:gridSpan w:val="6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pacing w:val="-4"/>
              </w:rPr>
            </w:pPr>
            <w:r>
              <w:rPr>
                <w:rFonts w:hint="eastAsia" w:ascii="仿宋" w:hAnsi="仿宋" w:eastAsia="仿宋"/>
                <w:spacing w:val="-4"/>
                <w:sz w:val="18"/>
              </w:rPr>
              <w:t>任现职以来，由学校组织的教师发展主题或专项培训，经考核合格并取得结业证书的计0.5分，国内半年（学期）及以上本专业领域进修培训经历且取得结业证书的计1分，国外3个月及以上本专业领域进修培训经历且考核合格的计2分。多次进修培训时间不累加，只计算最高分值。</w:t>
            </w:r>
          </w:p>
        </w:tc>
        <w:tc>
          <w:tcPr>
            <w:tcW w:w="867" w:type="dxa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分</w:t>
            </w:r>
          </w:p>
        </w:tc>
        <w:tc>
          <w:tcPr>
            <w:tcW w:w="1767" w:type="dxa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79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方正粗宋简体" w:eastAsia="方正粗宋简体"/>
                <w:sz w:val="28"/>
                <w:szCs w:val="21"/>
              </w:rPr>
            </w:pPr>
            <w:r>
              <w:rPr>
                <w:rFonts w:hint="eastAsia" w:ascii="方正粗宋简体" w:eastAsia="方正粗宋简体"/>
                <w:sz w:val="28"/>
                <w:szCs w:val="21"/>
              </w:rPr>
              <w:t>教学</w:t>
            </w:r>
          </w:p>
          <w:p>
            <w:pPr>
              <w:rPr>
                <w:rFonts w:ascii="方正粗宋简体" w:eastAsia="方正粗宋简体"/>
                <w:sz w:val="21"/>
                <w:szCs w:val="21"/>
              </w:rPr>
            </w:pPr>
            <w:r>
              <w:rPr>
                <w:rFonts w:hint="eastAsia" w:ascii="方正粗宋简体" w:eastAsia="方正粗宋简体"/>
                <w:sz w:val="13"/>
                <w:szCs w:val="21"/>
              </w:rPr>
              <w:t>（40分）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教学工作量</w:t>
            </w:r>
          </w:p>
        </w:tc>
        <w:tc>
          <w:tcPr>
            <w:tcW w:w="8167" w:type="dxa"/>
            <w:gridSpan w:val="6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参照《评审量化评分细则》中教学工作量条件执行。</w:t>
            </w:r>
          </w:p>
        </w:tc>
        <w:tc>
          <w:tcPr>
            <w:tcW w:w="8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20分</w:t>
            </w:r>
          </w:p>
        </w:tc>
        <w:tc>
          <w:tcPr>
            <w:tcW w:w="176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spacing w:line="0" w:lineRule="atLeas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教学改革与建设包含：课程建设、质量工程团队、教学成果奖、教学竞赛、学科指导竞赛、社会实践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教学效果评价</w:t>
            </w:r>
          </w:p>
        </w:tc>
        <w:tc>
          <w:tcPr>
            <w:tcW w:w="8167" w:type="dxa"/>
            <w:gridSpan w:val="6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参照《评审量化评分细则》中教学效果评价条件执行。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10分</w:t>
            </w: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18"/>
                <w:szCs w:val="21"/>
              </w:rPr>
              <w:t>教学改革与建设</w:t>
            </w:r>
          </w:p>
        </w:tc>
        <w:tc>
          <w:tcPr>
            <w:tcW w:w="8167" w:type="dxa"/>
            <w:gridSpan w:val="6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参照《评审量化评分细则》中教学改革与建设条件执行。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10分</w:t>
            </w: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797" w:type="dxa"/>
            <w:vMerge w:val="restart"/>
            <w:tcBorders>
              <w:top w:val="single" w:color="auto" w:sz="6" w:space="0"/>
              <w:left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方正粗宋简体" w:eastAsia="方正粗宋简体"/>
                <w:sz w:val="28"/>
                <w:szCs w:val="21"/>
              </w:rPr>
            </w:pPr>
            <w:r>
              <w:rPr>
                <w:rFonts w:hint="eastAsia" w:ascii="方正粗宋简体" w:eastAsia="方正粗宋简体"/>
                <w:sz w:val="28"/>
                <w:szCs w:val="21"/>
              </w:rPr>
              <w:t>科研</w:t>
            </w:r>
          </w:p>
          <w:p>
            <w:pPr>
              <w:jc w:val="center"/>
              <w:rPr>
                <w:rFonts w:ascii="宋体" w:eastAsiaTheme="minorEastAsia"/>
                <w:sz w:val="21"/>
                <w:szCs w:val="21"/>
              </w:rPr>
            </w:pPr>
            <w:r>
              <w:rPr>
                <w:rFonts w:hint="eastAsia" w:ascii="方正粗宋简体" w:eastAsia="方正粗宋简体"/>
                <w:sz w:val="15"/>
                <w:szCs w:val="21"/>
              </w:rPr>
              <w:t>（40分）</w:t>
            </w:r>
          </w:p>
        </w:tc>
        <w:tc>
          <w:tcPr>
            <w:tcW w:w="1500" w:type="dxa"/>
            <w:vMerge w:val="restart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论</w:t>
            </w:r>
            <w:r>
              <w:rPr>
                <w:rFonts w:ascii="仿宋" w:hAnsi="仿宋" w:eastAsia="仿宋"/>
                <w:sz w:val="21"/>
                <w:szCs w:val="21"/>
              </w:rPr>
              <w:t>文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代表作</w:t>
            </w:r>
          </w:p>
          <w:p>
            <w:pPr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1"/>
                <w:szCs w:val="21"/>
              </w:rPr>
              <w:t>分）</w:t>
            </w:r>
          </w:p>
        </w:tc>
        <w:tc>
          <w:tcPr>
            <w:tcW w:w="4820" w:type="dxa"/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  <w:highlight w:val="none"/>
              </w:rPr>
            </w:pPr>
            <w:r>
              <w:rPr>
                <w:rFonts w:hint="eastAsia" w:ascii="金桥简行楷" w:hAnsi="宋体" w:eastAsia="金桥简行楷"/>
                <w:sz w:val="21"/>
                <w:szCs w:val="21"/>
                <w:highlight w:val="none"/>
              </w:rPr>
              <w:t>SCI</w:t>
            </w:r>
          </w:p>
        </w:tc>
        <w:tc>
          <w:tcPr>
            <w:tcW w:w="334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  <w:t>2-6分</w:t>
            </w:r>
          </w:p>
        </w:tc>
        <w:tc>
          <w:tcPr>
            <w:tcW w:w="867" w:type="dxa"/>
            <w:vMerge w:val="restart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/>
                <w:sz w:val="21"/>
                <w:szCs w:val="21"/>
              </w:rPr>
              <w:t>分</w:t>
            </w:r>
          </w:p>
        </w:tc>
        <w:tc>
          <w:tcPr>
            <w:tcW w:w="1767" w:type="dxa"/>
            <w:vMerge w:val="restart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21"/>
              </w:rPr>
              <w:t>科技处审核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48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人文社科类论文被《中国社会科学》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、</w:t>
            </w:r>
          </w:p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《新华文摘》或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SSCI</w:t>
            </w:r>
            <w:r>
              <w:rPr>
                <w:rFonts w:hint="eastAsia" w:ascii="仿宋" w:hAnsi="仿宋" w:eastAsia="仿宋" w:cs="宋体"/>
                <w:sz w:val="21"/>
                <w:szCs w:val="24"/>
              </w:rPr>
              <w:t>全文发表或全文收录</w:t>
            </w:r>
          </w:p>
        </w:tc>
        <w:tc>
          <w:tcPr>
            <w:tcW w:w="3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48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sz w:val="21"/>
                <w:szCs w:val="24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EI;CSCD（C库）;CSSCI</w:t>
            </w:r>
            <w:r>
              <w:rPr>
                <w:rFonts w:ascii="仿宋" w:hAnsi="仿宋" w:eastAsia="仿宋" w:cs="宋体"/>
                <w:sz w:val="21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sz w:val="21"/>
                <w:szCs w:val="24"/>
              </w:rPr>
              <w:t>；</w:t>
            </w:r>
          </w:p>
          <w:p>
            <w:pPr>
              <w:rPr>
                <w:rFonts w:ascii="仿宋" w:hAnsi="仿宋" w:eastAsia="仿宋" w:cs="宋体"/>
                <w:sz w:val="21"/>
                <w:szCs w:val="24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《内蒙古大学学报》（哲社蒙文版）;</w:t>
            </w:r>
          </w:p>
          <w:p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《内蒙古社会科学》（蒙文版）;《中国蒙医药》</w:t>
            </w:r>
          </w:p>
        </w:tc>
        <w:tc>
          <w:tcPr>
            <w:tcW w:w="3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48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sz w:val="21"/>
                <w:szCs w:val="24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CSCD（E库）;CSSCI扩展库;</w:t>
            </w:r>
          </w:p>
          <w:p>
            <w:pPr>
              <w:jc w:val="left"/>
              <w:rPr>
                <w:rFonts w:ascii="仿宋" w:hAnsi="仿宋" w:eastAsia="仿宋" w:cs="宋体"/>
                <w:sz w:val="21"/>
                <w:szCs w:val="24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《全国中文核心期刊要目总览》（北京大学出版社2017版）指定刊物上发表的论文；</w:t>
            </w:r>
          </w:p>
          <w:p>
            <w:pPr>
              <w:jc w:val="left"/>
              <w:rPr>
                <w:rFonts w:ascii="仿宋" w:hAnsi="仿宋" w:eastAsia="仿宋" w:cs="宋体"/>
                <w:sz w:val="21"/>
                <w:szCs w:val="24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《中国蒙古学》;《内蒙古师范大学学报》（自科/哲社蒙文版）;《内蒙古民族大学学报》（蒙医药版）;《蒙古国国立大学学术期刊》;</w:t>
            </w:r>
          </w:p>
          <w:p>
            <w:pPr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《蒙古国国立教育大学学术期刊》</w:t>
            </w:r>
          </w:p>
        </w:tc>
        <w:tc>
          <w:tcPr>
            <w:tcW w:w="3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48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CPCI-S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CPCI-SSH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ISTP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收录的论文</w:t>
            </w:r>
          </w:p>
        </w:tc>
        <w:tc>
          <w:tcPr>
            <w:tcW w:w="3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0.</w:t>
            </w:r>
            <w:r>
              <w:rPr>
                <w:rFonts w:hint="eastAsia" w:ascii="宋体" w:hAnsi="宋体" w:cs="宋体"/>
                <w:sz w:val="21"/>
                <w:szCs w:val="21"/>
              </w:rPr>
              <w:t>3分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48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E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类期刊（包含蒙文E类期刊）</w:t>
            </w:r>
          </w:p>
        </w:tc>
        <w:tc>
          <w:tcPr>
            <w:tcW w:w="3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0.</w:t>
            </w:r>
            <w:r>
              <w:rPr>
                <w:rFonts w:hint="eastAsia" w:ascii="宋体" w:hAnsi="宋体" w:cs="宋体"/>
                <w:sz w:val="21"/>
                <w:szCs w:val="21"/>
              </w:rPr>
              <w:t>2分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restart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科研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项</w:t>
            </w:r>
            <w:r>
              <w:rPr>
                <w:rFonts w:ascii="仿宋" w:hAnsi="仿宋" w:eastAsia="仿宋"/>
                <w:sz w:val="21"/>
                <w:szCs w:val="21"/>
              </w:rPr>
              <w:t>目</w:t>
            </w:r>
          </w:p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（21分）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项</w:t>
            </w:r>
            <w:r>
              <w:rPr>
                <w:rFonts w:ascii="仿宋" w:hAnsi="仿宋" w:eastAsia="仿宋"/>
                <w:sz w:val="21"/>
                <w:szCs w:val="21"/>
              </w:rPr>
              <w:t>目</w:t>
            </w: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主持人</w:t>
            </w:r>
          </w:p>
        </w:tc>
        <w:tc>
          <w:tcPr>
            <w:tcW w:w="3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参与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人（含主持人）</w:t>
            </w:r>
          </w:p>
        </w:tc>
        <w:tc>
          <w:tcPr>
            <w:tcW w:w="867" w:type="dxa"/>
            <w:vMerge w:val="restart"/>
            <w:tcBorders>
              <w:top w:val="single" w:color="auto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sz w:val="21"/>
                <w:szCs w:val="21"/>
              </w:rPr>
              <w:t>21分</w:t>
            </w:r>
          </w:p>
        </w:tc>
        <w:tc>
          <w:tcPr>
            <w:tcW w:w="1767" w:type="dxa"/>
            <w:vMerge w:val="restart"/>
            <w:tcBorders>
              <w:top w:val="single" w:color="auto" w:sz="4" w:space="0"/>
              <w:left w:val="single" w:color="auto" w:sz="6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21"/>
              </w:rPr>
              <w:t>科技处审核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国家重大</w:t>
            </w: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</w:rPr>
              <w:t>分</w:t>
            </w:r>
          </w:p>
        </w:tc>
        <w:tc>
          <w:tcPr>
            <w:tcW w:w="3347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前5名2分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国家重点</w:t>
            </w: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20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分</w:t>
            </w:r>
          </w:p>
        </w:tc>
        <w:tc>
          <w:tcPr>
            <w:tcW w:w="3347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前5名2分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国家一般</w:t>
            </w: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9</w:t>
            </w:r>
            <w:r>
              <w:rPr>
                <w:rFonts w:ascii="仿宋" w:hAnsi="仿宋" w:eastAsia="仿宋"/>
                <w:sz w:val="21"/>
                <w:szCs w:val="21"/>
              </w:rPr>
              <w:t>分</w:t>
            </w:r>
          </w:p>
        </w:tc>
        <w:tc>
          <w:tcPr>
            <w:tcW w:w="3347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前5名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1.5分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部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级</w:t>
            </w:r>
            <w:r>
              <w:rPr>
                <w:rFonts w:ascii="仿宋" w:hAnsi="仿宋" w:eastAsia="仿宋"/>
                <w:sz w:val="21"/>
                <w:szCs w:val="21"/>
              </w:rPr>
              <w:t>重大</w:t>
            </w: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6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分</w:t>
            </w:r>
          </w:p>
        </w:tc>
        <w:tc>
          <w:tcPr>
            <w:tcW w:w="3347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前5名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1.5分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部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级</w:t>
            </w:r>
            <w:r>
              <w:rPr>
                <w:rFonts w:ascii="仿宋" w:hAnsi="仿宋" w:eastAsia="仿宋"/>
                <w:sz w:val="21"/>
                <w:szCs w:val="21"/>
              </w:rPr>
              <w:t>重点</w:t>
            </w: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14</w:t>
            </w:r>
            <w:r>
              <w:rPr>
                <w:rFonts w:ascii="仿宋" w:hAnsi="仿宋" w:eastAsia="仿宋"/>
                <w:sz w:val="21"/>
                <w:szCs w:val="21"/>
              </w:rPr>
              <w:t>分</w:t>
            </w:r>
          </w:p>
        </w:tc>
        <w:tc>
          <w:tcPr>
            <w:tcW w:w="3347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前5名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1.5分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部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级</w:t>
            </w:r>
            <w:r>
              <w:rPr>
                <w:rFonts w:ascii="仿宋" w:hAnsi="仿宋" w:eastAsia="仿宋"/>
                <w:sz w:val="21"/>
                <w:szCs w:val="21"/>
              </w:rPr>
              <w:t>一般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10</w:t>
            </w:r>
            <w:r>
              <w:rPr>
                <w:rFonts w:ascii="仿宋" w:hAnsi="仿宋" w:eastAsia="仿宋"/>
                <w:sz w:val="21"/>
                <w:szCs w:val="21"/>
              </w:rPr>
              <w:t>分</w:t>
            </w:r>
          </w:p>
        </w:tc>
        <w:tc>
          <w:tcPr>
            <w:tcW w:w="3347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前</w:t>
            </w:r>
            <w:r>
              <w:rPr>
                <w:rFonts w:ascii="仿宋" w:hAnsi="仿宋" w:eastAsia="仿宋"/>
                <w:sz w:val="21"/>
                <w:szCs w:val="21"/>
              </w:rPr>
              <w:t>5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省级重大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10分</w:t>
            </w:r>
          </w:p>
        </w:tc>
        <w:tc>
          <w:tcPr>
            <w:tcW w:w="3347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省级重点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8分</w:t>
            </w:r>
          </w:p>
        </w:tc>
        <w:tc>
          <w:tcPr>
            <w:tcW w:w="3347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省级一般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6分</w:t>
            </w:r>
          </w:p>
        </w:tc>
        <w:tc>
          <w:tcPr>
            <w:tcW w:w="3347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0.5分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市级</w:t>
            </w: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1分（上限3分）</w:t>
            </w:r>
          </w:p>
        </w:tc>
        <w:tc>
          <w:tcPr>
            <w:tcW w:w="3347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校级</w:t>
            </w: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0.5分（上限1分）</w:t>
            </w:r>
          </w:p>
        </w:tc>
        <w:tc>
          <w:tcPr>
            <w:tcW w:w="3347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横向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课题</w:t>
            </w: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pacing w:val="-6"/>
                <w:sz w:val="18"/>
                <w:szCs w:val="18"/>
              </w:rPr>
            </w:pPr>
            <w:r>
              <w:rPr>
                <w:rFonts w:ascii="仿宋" w:hAnsi="仿宋" w:eastAsia="仿宋"/>
                <w:spacing w:val="-6"/>
                <w:sz w:val="18"/>
                <w:szCs w:val="18"/>
              </w:rPr>
              <w:t>每10万</w:t>
            </w:r>
            <w:r>
              <w:rPr>
                <w:rFonts w:hint="eastAsia" w:ascii="仿宋" w:hAnsi="仿宋" w:eastAsia="仿宋"/>
                <w:spacing w:val="-6"/>
                <w:sz w:val="18"/>
                <w:szCs w:val="18"/>
              </w:rPr>
              <w:t>元</w:t>
            </w:r>
            <w:r>
              <w:rPr>
                <w:rFonts w:hint="eastAsia" w:ascii="仿宋" w:hAnsi="仿宋" w:eastAsia="仿宋" w:cs="宋体"/>
                <w:spacing w:val="-6"/>
                <w:sz w:val="18"/>
                <w:szCs w:val="18"/>
              </w:rPr>
              <w:t>计</w:t>
            </w:r>
            <w:r>
              <w:rPr>
                <w:rFonts w:ascii="仿宋" w:hAnsi="仿宋" w:eastAsia="仿宋"/>
                <w:spacing w:val="-6"/>
                <w:sz w:val="18"/>
                <w:szCs w:val="18"/>
              </w:rPr>
              <w:t>1分</w:t>
            </w:r>
            <w:r>
              <w:rPr>
                <w:rFonts w:hint="eastAsia" w:ascii="仿宋" w:hAnsi="仿宋" w:eastAsia="仿宋"/>
                <w:spacing w:val="-6"/>
                <w:sz w:val="18"/>
                <w:szCs w:val="18"/>
              </w:rPr>
              <w:t>（总计不超过6分）</w:t>
            </w:r>
          </w:p>
        </w:tc>
        <w:tc>
          <w:tcPr>
            <w:tcW w:w="3347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出版物</w:t>
            </w:r>
          </w:p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（5分）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eastAsia="Times New Roman"/>
                <w:sz w:val="21"/>
                <w:szCs w:val="21"/>
              </w:rPr>
            </w:pP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独著或独立编写</w:t>
            </w:r>
          </w:p>
        </w:tc>
        <w:tc>
          <w:tcPr>
            <w:tcW w:w="334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合著或合编</w:t>
            </w:r>
          </w:p>
        </w:tc>
        <w:tc>
          <w:tcPr>
            <w:tcW w:w="867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5分</w:t>
            </w:r>
          </w:p>
        </w:tc>
        <w:tc>
          <w:tcPr>
            <w:tcW w:w="1767" w:type="dxa"/>
            <w:vMerge w:val="restart"/>
            <w:tcBorders>
              <w:top w:val="single" w:color="auto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专著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hint="eastAsia" w:eastAsiaTheme="minorEastAsia"/>
                <w:sz w:val="21"/>
                <w:szCs w:val="21"/>
              </w:rPr>
              <w:t>5分</w:t>
            </w:r>
          </w:p>
        </w:tc>
        <w:tc>
          <w:tcPr>
            <w:tcW w:w="3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18"/>
              </w:rPr>
            </w:pPr>
            <w:r>
              <w:rPr>
                <w:rFonts w:hint="eastAsia" w:ascii="仿宋" w:hAnsi="仿宋" w:eastAsia="仿宋"/>
                <w:sz w:val="21"/>
                <w:szCs w:val="18"/>
              </w:rPr>
              <w:t>第一著者:3分;第二著者:2分;</w:t>
            </w:r>
          </w:p>
          <w:p>
            <w:pPr>
              <w:rPr>
                <w:rFonts w:ascii="仿宋" w:hAnsi="仿宋" w:eastAsia="仿宋"/>
                <w:sz w:val="21"/>
                <w:szCs w:val="18"/>
              </w:rPr>
            </w:pPr>
            <w:r>
              <w:rPr>
                <w:rFonts w:hint="eastAsia" w:ascii="仿宋" w:hAnsi="仿宋" w:eastAsia="仿宋"/>
                <w:sz w:val="21"/>
                <w:szCs w:val="18"/>
              </w:rPr>
              <w:t>第三著者:1分;其他著者:0.5分;</w:t>
            </w:r>
          </w:p>
        </w:tc>
        <w:tc>
          <w:tcPr>
            <w:tcW w:w="8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教材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4分</w:t>
            </w:r>
          </w:p>
        </w:tc>
        <w:tc>
          <w:tcPr>
            <w:tcW w:w="3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18"/>
              </w:rPr>
            </w:pPr>
            <w:r>
              <w:rPr>
                <w:rFonts w:hint="eastAsia" w:ascii="仿宋" w:hAnsi="仿宋" w:eastAsia="仿宋"/>
                <w:sz w:val="21"/>
                <w:szCs w:val="18"/>
              </w:rPr>
              <w:t>第一编者:3分;第二编者:2分;</w:t>
            </w:r>
          </w:p>
          <w:p>
            <w:pPr>
              <w:rPr>
                <w:sz w:val="21"/>
              </w:rPr>
            </w:pPr>
            <w:r>
              <w:rPr>
                <w:rFonts w:hint="eastAsia" w:ascii="仿宋" w:hAnsi="仿宋" w:eastAsia="仿宋"/>
                <w:sz w:val="21"/>
                <w:szCs w:val="18"/>
              </w:rPr>
              <w:t>第三编者:1分;其他编者:0.5分;</w:t>
            </w:r>
          </w:p>
        </w:tc>
        <w:tc>
          <w:tcPr>
            <w:tcW w:w="8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编著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2分</w:t>
            </w:r>
          </w:p>
        </w:tc>
        <w:tc>
          <w:tcPr>
            <w:tcW w:w="3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18"/>
              </w:rPr>
            </w:pPr>
            <w:r>
              <w:rPr>
                <w:rFonts w:hint="eastAsia" w:ascii="仿宋" w:hAnsi="仿宋" w:eastAsia="仿宋"/>
                <w:sz w:val="21"/>
                <w:szCs w:val="18"/>
              </w:rPr>
              <w:t>第一编者:1分;第二编者:0.5分</w:t>
            </w:r>
          </w:p>
          <w:p>
            <w:pPr>
              <w:rPr>
                <w:rFonts w:ascii="仿宋" w:hAnsi="仿宋" w:eastAsia="仿宋"/>
                <w:spacing w:val="-2"/>
                <w:sz w:val="21"/>
                <w:szCs w:val="18"/>
              </w:rPr>
            </w:pPr>
            <w:r>
              <w:rPr>
                <w:rFonts w:hint="eastAsia" w:ascii="仿宋" w:hAnsi="仿宋" w:eastAsia="仿宋"/>
                <w:spacing w:val="-2"/>
                <w:sz w:val="21"/>
                <w:szCs w:val="18"/>
              </w:rPr>
              <w:t>第三编者:0.3分;其他编者:0.2分</w:t>
            </w:r>
          </w:p>
        </w:tc>
        <w:tc>
          <w:tcPr>
            <w:tcW w:w="867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专</w:t>
            </w:r>
            <w:r>
              <w:rPr>
                <w:rFonts w:ascii="仿宋" w:hAnsi="仿宋" w:eastAsia="仿宋"/>
                <w:sz w:val="21"/>
                <w:szCs w:val="21"/>
              </w:rPr>
              <w:t>利</w:t>
            </w:r>
          </w:p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（4分）</w:t>
            </w:r>
          </w:p>
        </w:tc>
        <w:tc>
          <w:tcPr>
            <w:tcW w:w="81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国家发明专利：发明人排名第一：4分，排名第二：1分;</w:t>
            </w:r>
          </w:p>
          <w:p>
            <w:pPr>
              <w:jc w:val="left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实用新型专利：发明人排名第一：1分;</w:t>
            </w:r>
          </w:p>
          <w:p>
            <w:pPr>
              <w:jc w:val="left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 xml:space="preserve">外观设计专利：发明人排名第一：0.5分 ;            </w:t>
            </w:r>
          </w:p>
          <w:p>
            <w:pPr>
              <w:jc w:val="left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计算机软件著作权：发明人排名第一：0.5分;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sz w:val="21"/>
                <w:szCs w:val="21"/>
              </w:rPr>
              <w:t>4分</w:t>
            </w: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18"/>
                <w:szCs w:val="21"/>
                <w:highlight w:val="none"/>
                <w:lang w:val="en-US" w:eastAsia="zh-CN"/>
              </w:rPr>
              <w:t>成果转化技术转移</w:t>
            </w:r>
          </w:p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18"/>
                <w:szCs w:val="21"/>
                <w:highlight w:val="none"/>
                <w:lang w:val="en-US" w:eastAsia="zh-CN"/>
              </w:rPr>
              <w:t>8分</w:t>
            </w:r>
            <w:r>
              <w:rPr>
                <w:rFonts w:hint="eastAsia" w:ascii="仿宋" w:hAnsi="仿宋" w:eastAsia="仿宋"/>
                <w:sz w:val="18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/>
                <w:sz w:val="18"/>
                <w:szCs w:val="21"/>
                <w:highlight w:val="none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/>
                <w:sz w:val="18"/>
                <w:szCs w:val="21"/>
                <w:highlight w:val="none"/>
                <w:lang w:eastAsia="zh-CN"/>
              </w:rPr>
              <w:t>科技处审核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99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ascii="方正粗宋简体" w:eastAsia="方正粗宋简体"/>
                <w:sz w:val="28"/>
                <w:szCs w:val="21"/>
              </w:rPr>
              <w:t>服务地方（5分）</w:t>
            </w:r>
          </w:p>
        </w:tc>
        <w:tc>
          <w:tcPr>
            <w:tcW w:w="6466" w:type="dxa"/>
            <w:gridSpan w:val="4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参照《评审量化评分细则》中服务地方条件执行。</w:t>
            </w:r>
          </w:p>
          <w:p>
            <w:pPr>
              <w:pageBreakBefore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5分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 xml:space="preserve">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2297" w:type="dxa"/>
            <w:gridSpan w:val="2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8"/>
                <w:szCs w:val="21"/>
              </w:rPr>
            </w:pPr>
            <w:r>
              <w:rPr>
                <w:rFonts w:hint="eastAsia" w:ascii="方正粗宋简体" w:eastAsia="方正粗宋简体"/>
                <w:sz w:val="28"/>
                <w:szCs w:val="21"/>
              </w:rPr>
              <w:t>表彰</w:t>
            </w:r>
            <w:r>
              <w:rPr>
                <w:rFonts w:hint="eastAsia" w:ascii="方正粗宋简体" w:hAnsi="宋体" w:eastAsia="方正粗宋简体" w:cs="宋体"/>
                <w:sz w:val="28"/>
                <w:szCs w:val="21"/>
              </w:rPr>
              <w:t>奖</w:t>
            </w:r>
            <w:r>
              <w:rPr>
                <w:rFonts w:hint="eastAsia" w:ascii="方正粗宋简体" w:eastAsia="方正粗宋简体"/>
                <w:sz w:val="28"/>
                <w:szCs w:val="21"/>
              </w:rPr>
              <w:t>励</w:t>
            </w:r>
          </w:p>
          <w:p>
            <w:pPr>
              <w:jc w:val="center"/>
              <w:rPr>
                <w:rFonts w:ascii="宋体" w:eastAsiaTheme="minorEastAsia"/>
                <w:sz w:val="21"/>
                <w:szCs w:val="21"/>
              </w:rPr>
            </w:pPr>
            <w:r>
              <w:rPr>
                <w:rFonts w:hint="eastAsia" w:ascii="方正粗宋简体" w:eastAsia="方正粗宋简体"/>
                <w:sz w:val="28"/>
                <w:szCs w:val="21"/>
              </w:rPr>
              <w:t>（15分）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科研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获奖</w:t>
            </w:r>
            <w:r>
              <w:rPr>
                <w:rFonts w:ascii="仿宋" w:hAnsi="仿宋" w:eastAsia="仿宋"/>
                <w:sz w:val="21"/>
                <w:szCs w:val="21"/>
              </w:rPr>
              <w:t>（以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获奖证书为</w:t>
            </w:r>
            <w:r>
              <w:rPr>
                <w:rFonts w:ascii="仿宋" w:hAnsi="仿宋" w:eastAsia="仿宋"/>
                <w:sz w:val="21"/>
                <w:szCs w:val="21"/>
              </w:rPr>
              <w:t>准，同一内容多次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获奖</w:t>
            </w:r>
            <w:r>
              <w:rPr>
                <w:rFonts w:ascii="仿宋" w:hAnsi="仿宋" w:eastAsia="仿宋"/>
                <w:sz w:val="21"/>
                <w:szCs w:val="21"/>
              </w:rPr>
              <w:t>，只量化最高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奖项</w:t>
            </w:r>
            <w:r>
              <w:rPr>
                <w:rFonts w:ascii="仿宋" w:hAnsi="仿宋" w:eastAsia="仿宋"/>
                <w:sz w:val="21"/>
                <w:szCs w:val="21"/>
              </w:rPr>
              <w:t>。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励类别包括自然科学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、技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术发</w:t>
            </w:r>
            <w:r>
              <w:rPr>
                <w:rFonts w:ascii="仿宋" w:hAnsi="仿宋" w:eastAsia="仿宋"/>
                <w:sz w:val="21"/>
                <w:szCs w:val="21"/>
              </w:rPr>
              <w:t>明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、科技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进</w:t>
            </w:r>
            <w:r>
              <w:rPr>
                <w:rFonts w:ascii="仿宋" w:hAnsi="仿宋" w:eastAsia="仿宋"/>
                <w:sz w:val="21"/>
                <w:szCs w:val="21"/>
              </w:rPr>
              <w:t>步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、社科成果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等。）</w:t>
            </w:r>
          </w:p>
        </w:tc>
        <w:tc>
          <w:tcPr>
            <w:tcW w:w="6466" w:type="dxa"/>
            <w:gridSpan w:val="4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国家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级</w:t>
            </w:r>
            <w:r>
              <w:rPr>
                <w:rFonts w:ascii="仿宋" w:hAnsi="仿宋" w:eastAsia="仿宋"/>
                <w:sz w:val="21"/>
                <w:szCs w:val="21"/>
              </w:rPr>
              <w:t>：一等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10分，二等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8分，三等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6分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，优秀奖4分；</w:t>
            </w:r>
          </w:p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部  级：</w:t>
            </w:r>
            <w:r>
              <w:rPr>
                <w:rFonts w:ascii="仿宋" w:hAnsi="仿宋" w:eastAsia="仿宋"/>
                <w:sz w:val="21"/>
                <w:szCs w:val="21"/>
              </w:rPr>
              <w:t>一等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8</w:t>
            </w:r>
            <w:r>
              <w:rPr>
                <w:rFonts w:ascii="仿宋" w:hAnsi="仿宋" w:eastAsia="仿宋"/>
                <w:sz w:val="21"/>
                <w:szCs w:val="21"/>
              </w:rPr>
              <w:t>分，二等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6</w:t>
            </w:r>
            <w:r>
              <w:rPr>
                <w:rFonts w:ascii="仿宋" w:hAnsi="仿宋" w:eastAsia="仿宋"/>
                <w:sz w:val="21"/>
                <w:szCs w:val="21"/>
              </w:rPr>
              <w:t>分，三等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4</w:t>
            </w:r>
            <w:r>
              <w:rPr>
                <w:rFonts w:ascii="仿宋" w:hAnsi="仿宋" w:eastAsia="仿宋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，优秀奖2分；</w:t>
            </w:r>
          </w:p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 xml:space="preserve">  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级</w:t>
            </w:r>
            <w:r>
              <w:rPr>
                <w:rFonts w:ascii="仿宋" w:hAnsi="仿宋" w:eastAsia="仿宋"/>
                <w:sz w:val="21"/>
                <w:szCs w:val="21"/>
              </w:rPr>
              <w:t>：一等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6分，二等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4分，三等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2分；</w:t>
            </w:r>
          </w:p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市  级</w:t>
            </w:r>
            <w:r>
              <w:rPr>
                <w:rFonts w:ascii="仿宋" w:hAnsi="仿宋" w:eastAsia="仿宋"/>
                <w:sz w:val="21"/>
                <w:szCs w:val="21"/>
              </w:rPr>
              <w:t>：一等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2</w:t>
            </w:r>
            <w:r>
              <w:rPr>
                <w:rFonts w:ascii="仿宋" w:hAnsi="仿宋" w:eastAsia="仿宋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，</w:t>
            </w:r>
            <w:r>
              <w:rPr>
                <w:rFonts w:ascii="仿宋" w:hAnsi="仿宋" w:eastAsia="仿宋"/>
                <w:sz w:val="21"/>
                <w:szCs w:val="21"/>
              </w:rPr>
              <w:t>二等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，三等奖0.5；</w:t>
            </w:r>
          </w:p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参照《评审量化评分细则》中条件执行。</w:t>
            </w:r>
          </w:p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67" w:type="dxa"/>
            <w:vMerge w:val="restart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13分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pacing w:val="-16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pacing w:val="-16"/>
                <w:sz w:val="21"/>
                <w:szCs w:val="21"/>
              </w:rPr>
              <w:t>主持人计最高分，其余人员按奖项得分除以名次。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229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pacing w:val="-14"/>
                <w:sz w:val="18"/>
                <w:szCs w:val="18"/>
              </w:rPr>
              <w:t xml:space="preserve"> 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教学获奖(以获奖证书为准，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同一内容多次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获奖</w:t>
            </w:r>
            <w:r>
              <w:rPr>
                <w:rFonts w:ascii="仿宋" w:hAnsi="仿宋" w:eastAsia="仿宋"/>
                <w:sz w:val="21"/>
                <w:szCs w:val="21"/>
              </w:rPr>
              <w:t>，只量化最高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奖项</w:t>
            </w:r>
            <w:r>
              <w:rPr>
                <w:rFonts w:ascii="仿宋" w:hAnsi="仿宋" w:eastAsia="仿宋"/>
                <w:sz w:val="21"/>
                <w:szCs w:val="21"/>
              </w:rPr>
              <w:t>。</w:t>
            </w:r>
          </w:p>
        </w:tc>
        <w:tc>
          <w:tcPr>
            <w:tcW w:w="6466" w:type="dxa"/>
            <w:gridSpan w:val="4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励类别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：</w:t>
            </w:r>
          </w:p>
          <w:p>
            <w:pPr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专业建设项目</w:t>
            </w:r>
          </w:p>
          <w:p>
            <w:pPr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课程建设项目</w:t>
            </w:r>
          </w:p>
          <w:p>
            <w:pPr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实践教学建设项目</w:t>
            </w:r>
          </w:p>
          <w:p>
            <w:pPr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教师队伍建设项目</w:t>
            </w:r>
          </w:p>
          <w:p>
            <w:pPr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教学成果奖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spacing w:val="-16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pacing w:val="-16"/>
                <w:sz w:val="21"/>
                <w:szCs w:val="21"/>
              </w:rPr>
              <w:t>参照《评审量化评分细则》中教学奖励条件执行。</w:t>
            </w:r>
          </w:p>
          <w:p>
            <w:pPr>
              <w:jc w:val="left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2297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个人荣誉</w:t>
            </w:r>
          </w:p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专</w:t>
            </w:r>
            <w:r>
              <w:rPr>
                <w:rFonts w:ascii="仿宋" w:hAnsi="仿宋" w:eastAsia="仿宋"/>
                <w:sz w:val="21"/>
                <w:szCs w:val="21"/>
              </w:rPr>
              <w:t>家称号</w:t>
            </w:r>
          </w:p>
        </w:tc>
        <w:tc>
          <w:tcPr>
            <w:tcW w:w="6466" w:type="dxa"/>
            <w:gridSpan w:val="4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国家、自治区级荣誉及专家称号以发证机关印章为准。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包括劳动模范、先进工作者、先进个人、优秀教师（教育工作者）、</w:t>
            </w:r>
            <w:r>
              <w:rPr>
                <w:rFonts w:hint="eastAsia" w:ascii="仿宋" w:hAnsi="仿宋" w:eastAsia="仿宋" w:cs="宋体"/>
                <w:spacing w:val="-6"/>
                <w:sz w:val="24"/>
                <w:szCs w:val="24"/>
              </w:rPr>
              <w:t>优秀党员（党务工作者）、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双师、双能型教师（国家认可的相关职业资格证书）</w:t>
            </w:r>
          </w:p>
          <w:p>
            <w:pPr>
              <w:rPr>
                <w:rFonts w:ascii="仿宋" w:hAnsi="仿宋" w:eastAsia="仿宋" w:cs="宋体"/>
                <w:spacing w:val="-6"/>
                <w:sz w:val="21"/>
                <w:szCs w:val="21"/>
              </w:rPr>
            </w:pPr>
          </w:p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分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仿宋" w:hAnsi="仿宋" w:eastAsia="仿宋"/>
                <w:spacing w:val="-6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pacing w:val="-6"/>
                <w:sz w:val="21"/>
                <w:szCs w:val="21"/>
              </w:rPr>
              <w:t>国家、自治区级荣誉及专家称号以发证机关印章为准。包括劳动模范、先进工作者、先进个人、优秀教师（教育工作者）、优秀党员（党务工作者）。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29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hAnsi="宋体" w:eastAsia="方正粗宋简体" w:cs="宋体"/>
                <w:sz w:val="28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8"/>
                <w:szCs w:val="21"/>
              </w:rPr>
              <w:t>业绩评价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8"/>
                <w:szCs w:val="21"/>
              </w:rPr>
              <w:t>（10分）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综合评价</w:t>
            </w:r>
          </w:p>
        </w:tc>
        <w:tc>
          <w:tcPr>
            <w:tcW w:w="6466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满足《评审条件》基础上，参照《评审量化评分细则》条件执行。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10分</w:t>
            </w:r>
          </w:p>
        </w:tc>
        <w:tc>
          <w:tcPr>
            <w:tcW w:w="1767" w:type="dxa"/>
            <w:tcBorders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046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righ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合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计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120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分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13098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备注：</w:t>
            </w:r>
            <w:r>
              <w:rPr>
                <w:rFonts w:hint="eastAsia" w:ascii="仿宋" w:hAnsi="仿宋" w:eastAsia="仿宋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宋体"/>
                <w:sz w:val="21"/>
                <w:szCs w:val="21"/>
              </w:rPr>
              <w:t>1.</w:t>
            </w:r>
            <w:r>
              <w:rPr>
                <w:rFonts w:ascii="仿宋" w:hAnsi="仿宋" w:eastAsia="仿宋"/>
                <w:sz w:val="21"/>
                <w:szCs w:val="21"/>
              </w:rPr>
              <w:t>此表需依据《赤峰学院</w:t>
            </w:r>
            <w:r>
              <w:rPr>
                <w:rFonts w:ascii="仿宋" w:hAnsi="仿宋" w:eastAsia="仿宋" w:cs="宋体"/>
                <w:sz w:val="21"/>
                <w:szCs w:val="21"/>
              </w:rPr>
              <w:t>201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9</w:t>
            </w:r>
            <w:r>
              <w:rPr>
                <w:rFonts w:ascii="仿宋" w:hAnsi="仿宋" w:eastAsia="仿宋"/>
                <w:sz w:val="21"/>
                <w:szCs w:val="21"/>
              </w:rPr>
              <w:t>年度高校教师高级专业技术资格评审量化评分细则》赋分</w:t>
            </w:r>
          </w:p>
          <w:p>
            <w:pPr>
              <w:ind w:firstLine="525" w:firstLineChars="250"/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 w:cs="宋体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宋体"/>
                <w:sz w:val="21"/>
                <w:szCs w:val="21"/>
              </w:rPr>
              <w:t>2.</w:t>
            </w:r>
            <w:r>
              <w:rPr>
                <w:rFonts w:ascii="仿宋" w:hAnsi="仿宋" w:eastAsia="仿宋"/>
                <w:sz w:val="21"/>
                <w:szCs w:val="21"/>
              </w:rPr>
              <w:t>参评人员须在满足《赤峰学院</w:t>
            </w:r>
            <w:r>
              <w:rPr>
                <w:rFonts w:ascii="仿宋" w:hAnsi="仿宋" w:eastAsia="仿宋" w:cs="宋体"/>
                <w:sz w:val="21"/>
                <w:szCs w:val="21"/>
              </w:rPr>
              <w:t>201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9</w:t>
            </w:r>
            <w:r>
              <w:rPr>
                <w:rFonts w:ascii="仿宋" w:hAnsi="仿宋" w:eastAsia="仿宋"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度</w:t>
            </w:r>
            <w:r>
              <w:rPr>
                <w:rFonts w:ascii="仿宋" w:hAnsi="仿宋" w:eastAsia="仿宋"/>
                <w:sz w:val="21"/>
                <w:szCs w:val="21"/>
              </w:rPr>
              <w:t>高校教师高级专业技术资格评审条件》基础上赋分</w:t>
            </w:r>
          </w:p>
          <w:p>
            <w:pPr>
              <w:ind w:firstLine="735" w:firstLineChars="350"/>
              <w:jc w:val="left"/>
              <w:rPr>
                <w:rFonts w:ascii="宋体" w:eastAsiaTheme="minorEastAsia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3.师德师风一票否决</w:t>
            </w:r>
          </w:p>
        </w:tc>
      </w:tr>
    </w:tbl>
    <w:p/>
    <w:sectPr>
      <w:pgSz w:w="15876" w:h="22113"/>
      <w:pgMar w:top="1701" w:right="1418" w:bottom="1134" w:left="1418" w:header="709" w:footer="709" w:gutter="0"/>
      <w:cols w:space="720" w:num="1"/>
      <w:docGrid w:linePitch="360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粗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金桥简行楷"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800"/>
  <w:doNotHyphenateCaps/>
  <w:displayHorizontalDrawingGridEvery w:val="0"/>
  <w:displayVerticalDrawingGridEvery w:val="2"/>
  <w:noPunctuationKerning w:val="1"/>
  <w:characterSpacingControl w:val="doNotCompress"/>
  <w:noLineBreaksAfter w:lang="zh-CN" w:val="$([{£¥·‘“〈《「『【〔〖〝﹙﹛﹝＄（．［｛￡￥"/>
  <w:noLineBreaksBefore w:lang="zh-CN" w:val="$([{£¥·‘“〈《「『【〔〖〝﹙﹛﹝＄（．［｛￡￥"/>
  <w:doNotValidateAgainstSchema/>
  <w:doNotDemarcateInvalidXml/>
  <w:compat>
    <w:balanceSingleByteDoubleByteWidth/>
    <w:doNotExpandShiftReturn/>
    <w:useFELayout/>
    <w:compatSetting w:name="compatibilityMode" w:uri="http://schemas.microsoft.com/office/word" w:val="12"/>
  </w:compat>
  <w:rsids>
    <w:rsidRoot w:val="002838A8"/>
    <w:rsid w:val="00001B27"/>
    <w:rsid w:val="00043505"/>
    <w:rsid w:val="00046933"/>
    <w:rsid w:val="00094267"/>
    <w:rsid w:val="000A756F"/>
    <w:rsid w:val="000E013F"/>
    <w:rsid w:val="000E43D8"/>
    <w:rsid w:val="000F6860"/>
    <w:rsid w:val="00113847"/>
    <w:rsid w:val="001170E4"/>
    <w:rsid w:val="00121792"/>
    <w:rsid w:val="00125F11"/>
    <w:rsid w:val="00127276"/>
    <w:rsid w:val="00136911"/>
    <w:rsid w:val="00145433"/>
    <w:rsid w:val="0014698D"/>
    <w:rsid w:val="00146CD2"/>
    <w:rsid w:val="0017249D"/>
    <w:rsid w:val="0017496F"/>
    <w:rsid w:val="00176C41"/>
    <w:rsid w:val="00193F2E"/>
    <w:rsid w:val="0019465C"/>
    <w:rsid w:val="001B17D4"/>
    <w:rsid w:val="001B29A7"/>
    <w:rsid w:val="001C1F7B"/>
    <w:rsid w:val="001D191D"/>
    <w:rsid w:val="001D1CF2"/>
    <w:rsid w:val="001D549E"/>
    <w:rsid w:val="001E2E88"/>
    <w:rsid w:val="00205479"/>
    <w:rsid w:val="00245D91"/>
    <w:rsid w:val="0026698D"/>
    <w:rsid w:val="00281469"/>
    <w:rsid w:val="002838A8"/>
    <w:rsid w:val="0029699B"/>
    <w:rsid w:val="003158A8"/>
    <w:rsid w:val="00342AA6"/>
    <w:rsid w:val="00362A6A"/>
    <w:rsid w:val="003879AD"/>
    <w:rsid w:val="003962F5"/>
    <w:rsid w:val="003E1C44"/>
    <w:rsid w:val="003F5565"/>
    <w:rsid w:val="00405A79"/>
    <w:rsid w:val="00417CAB"/>
    <w:rsid w:val="004220DC"/>
    <w:rsid w:val="00427E7D"/>
    <w:rsid w:val="00440F96"/>
    <w:rsid w:val="00446FAF"/>
    <w:rsid w:val="00451E13"/>
    <w:rsid w:val="00471718"/>
    <w:rsid w:val="00496A86"/>
    <w:rsid w:val="004B0F35"/>
    <w:rsid w:val="004B576B"/>
    <w:rsid w:val="004E035D"/>
    <w:rsid w:val="004E3F42"/>
    <w:rsid w:val="00511832"/>
    <w:rsid w:val="00511E92"/>
    <w:rsid w:val="00515E5C"/>
    <w:rsid w:val="005204AD"/>
    <w:rsid w:val="00522178"/>
    <w:rsid w:val="00523F6C"/>
    <w:rsid w:val="00526D0D"/>
    <w:rsid w:val="0054733E"/>
    <w:rsid w:val="0056316B"/>
    <w:rsid w:val="005B284D"/>
    <w:rsid w:val="005B53BC"/>
    <w:rsid w:val="005B7DAB"/>
    <w:rsid w:val="005F2EB0"/>
    <w:rsid w:val="005F4674"/>
    <w:rsid w:val="00603E8C"/>
    <w:rsid w:val="006202BA"/>
    <w:rsid w:val="006668CD"/>
    <w:rsid w:val="00690B4C"/>
    <w:rsid w:val="0069213F"/>
    <w:rsid w:val="006B15FE"/>
    <w:rsid w:val="006B2147"/>
    <w:rsid w:val="0071429C"/>
    <w:rsid w:val="007418A5"/>
    <w:rsid w:val="007839F4"/>
    <w:rsid w:val="0079171A"/>
    <w:rsid w:val="007A0CF9"/>
    <w:rsid w:val="007B235E"/>
    <w:rsid w:val="007E0F76"/>
    <w:rsid w:val="007E2317"/>
    <w:rsid w:val="007E338A"/>
    <w:rsid w:val="00805730"/>
    <w:rsid w:val="008072DB"/>
    <w:rsid w:val="008154BE"/>
    <w:rsid w:val="00837AB9"/>
    <w:rsid w:val="00852EBE"/>
    <w:rsid w:val="0087201E"/>
    <w:rsid w:val="008C0F18"/>
    <w:rsid w:val="00903275"/>
    <w:rsid w:val="00913047"/>
    <w:rsid w:val="009149A4"/>
    <w:rsid w:val="00966BC1"/>
    <w:rsid w:val="0099311A"/>
    <w:rsid w:val="009A0D8C"/>
    <w:rsid w:val="009A2CF6"/>
    <w:rsid w:val="009A624E"/>
    <w:rsid w:val="009C2E88"/>
    <w:rsid w:val="009E1163"/>
    <w:rsid w:val="00A11300"/>
    <w:rsid w:val="00A35BB2"/>
    <w:rsid w:val="00A44257"/>
    <w:rsid w:val="00A44535"/>
    <w:rsid w:val="00A61C5B"/>
    <w:rsid w:val="00A811E4"/>
    <w:rsid w:val="00A90DB5"/>
    <w:rsid w:val="00AA7070"/>
    <w:rsid w:val="00AE57AA"/>
    <w:rsid w:val="00AE5B05"/>
    <w:rsid w:val="00B0356F"/>
    <w:rsid w:val="00B23259"/>
    <w:rsid w:val="00B36401"/>
    <w:rsid w:val="00B572B4"/>
    <w:rsid w:val="00B925D6"/>
    <w:rsid w:val="00B93D22"/>
    <w:rsid w:val="00BA1DB9"/>
    <w:rsid w:val="00BB0D7F"/>
    <w:rsid w:val="00BD52C6"/>
    <w:rsid w:val="00BD70DC"/>
    <w:rsid w:val="00C31492"/>
    <w:rsid w:val="00C4249D"/>
    <w:rsid w:val="00C46C41"/>
    <w:rsid w:val="00C50D0E"/>
    <w:rsid w:val="00C61AA8"/>
    <w:rsid w:val="00C61FF8"/>
    <w:rsid w:val="00C80FAD"/>
    <w:rsid w:val="00C855F9"/>
    <w:rsid w:val="00CF3F75"/>
    <w:rsid w:val="00D2188E"/>
    <w:rsid w:val="00D354A8"/>
    <w:rsid w:val="00DC6559"/>
    <w:rsid w:val="00DF2DAA"/>
    <w:rsid w:val="00E24A98"/>
    <w:rsid w:val="00E3290F"/>
    <w:rsid w:val="00E4682E"/>
    <w:rsid w:val="00E84F37"/>
    <w:rsid w:val="00E870EA"/>
    <w:rsid w:val="00E87591"/>
    <w:rsid w:val="00E93794"/>
    <w:rsid w:val="00E95434"/>
    <w:rsid w:val="00EC3C78"/>
    <w:rsid w:val="00EC6D7C"/>
    <w:rsid w:val="00EE65A0"/>
    <w:rsid w:val="00EE7F2D"/>
    <w:rsid w:val="00EF49C8"/>
    <w:rsid w:val="00F04089"/>
    <w:rsid w:val="00F04BAA"/>
    <w:rsid w:val="00F06360"/>
    <w:rsid w:val="00F142C3"/>
    <w:rsid w:val="00F36C3F"/>
    <w:rsid w:val="00F43F27"/>
    <w:rsid w:val="00F50C7D"/>
    <w:rsid w:val="00F50FE3"/>
    <w:rsid w:val="00F5695D"/>
    <w:rsid w:val="00F601F1"/>
    <w:rsid w:val="00F774D7"/>
    <w:rsid w:val="00F9047B"/>
    <w:rsid w:val="00FA56C9"/>
    <w:rsid w:val="00FC1CEB"/>
    <w:rsid w:val="00FC687F"/>
    <w:rsid w:val="00FD1382"/>
    <w:rsid w:val="00FD67BE"/>
    <w:rsid w:val="00FF0F91"/>
    <w:rsid w:val="0BD106FD"/>
    <w:rsid w:val="13443C9C"/>
    <w:rsid w:val="1B2F1146"/>
    <w:rsid w:val="2A3F347E"/>
    <w:rsid w:val="494B733C"/>
    <w:rsid w:val="56357F80"/>
    <w:rsid w:val="6A5D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name="toc 1"/>
    <w:lsdException w:qFormat="1" w:unhideWhenUsed="0" w:uiPriority="99" w:name="toc 2"/>
    <w:lsdException w:qFormat="1" w:unhideWhenUsed="0" w:uiPriority="99" w:name="toc 3"/>
    <w:lsdException w:qFormat="1" w:unhideWhenUsed="0" w:uiPriority="99" w:name="toc 4"/>
    <w:lsdException w:qFormat="1" w:unhideWhenUsed="0" w:uiPriority="99" w:name="toc 5"/>
    <w:lsdException w:qFormat="1" w:unhideWhenUsed="0" w:uiPriority="99" w:name="toc 6"/>
    <w:lsdException w:qFormat="1" w:unhideWhenUsed="0" w:uiPriority="99" w:name="toc 7"/>
    <w:lsdException w:qFormat="1" w:unhideWhenUsed="0" w:uiPriority="99" w:name="toc 8"/>
    <w:lsdException w:qFormat="1" w:unhideWhenUsed="0" w:uiPriority="99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iPriority="99" w:name="header" w:locked="1"/>
    <w:lsdException w:qFormat="1" w:uiPriority="99" w:name="footer" w:locked="1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9"/>
    <w:pPr>
      <w:outlineLvl w:val="0"/>
    </w:pPr>
    <w:rPr>
      <w:sz w:val="28"/>
      <w:szCs w:val="28"/>
    </w:rPr>
  </w:style>
  <w:style w:type="paragraph" w:styleId="3">
    <w:name w:val="heading 2"/>
    <w:basedOn w:val="1"/>
    <w:next w:val="1"/>
    <w:link w:val="30"/>
    <w:qFormat/>
    <w:uiPriority w:val="99"/>
    <w:pPr>
      <w:outlineLvl w:val="1"/>
    </w:pPr>
  </w:style>
  <w:style w:type="paragraph" w:styleId="4">
    <w:name w:val="heading 3"/>
    <w:basedOn w:val="1"/>
    <w:next w:val="1"/>
    <w:link w:val="31"/>
    <w:qFormat/>
    <w:uiPriority w:val="99"/>
    <w:pPr>
      <w:ind w:left="1000" w:hanging="400"/>
      <w:outlineLvl w:val="2"/>
    </w:pPr>
  </w:style>
  <w:style w:type="paragraph" w:styleId="5">
    <w:name w:val="heading 4"/>
    <w:basedOn w:val="1"/>
    <w:next w:val="1"/>
    <w:link w:val="32"/>
    <w:qFormat/>
    <w:uiPriority w:val="99"/>
    <w:pPr>
      <w:ind w:left="1200" w:hanging="400"/>
      <w:outlineLvl w:val="3"/>
    </w:pPr>
    <w:rPr>
      <w:b/>
      <w:bCs/>
    </w:rPr>
  </w:style>
  <w:style w:type="paragraph" w:styleId="6">
    <w:name w:val="heading 5"/>
    <w:basedOn w:val="1"/>
    <w:next w:val="1"/>
    <w:link w:val="33"/>
    <w:qFormat/>
    <w:uiPriority w:val="99"/>
    <w:pPr>
      <w:ind w:left="1400" w:hanging="400"/>
      <w:outlineLvl w:val="4"/>
    </w:pPr>
  </w:style>
  <w:style w:type="paragraph" w:styleId="7">
    <w:name w:val="heading 6"/>
    <w:basedOn w:val="1"/>
    <w:next w:val="1"/>
    <w:link w:val="34"/>
    <w:qFormat/>
    <w:uiPriority w:val="99"/>
    <w:pPr>
      <w:ind w:left="1600" w:hanging="400"/>
      <w:outlineLvl w:val="5"/>
    </w:pPr>
    <w:rPr>
      <w:b/>
      <w:bCs/>
    </w:rPr>
  </w:style>
  <w:style w:type="paragraph" w:styleId="8">
    <w:name w:val="heading 7"/>
    <w:basedOn w:val="1"/>
    <w:next w:val="1"/>
    <w:link w:val="35"/>
    <w:qFormat/>
    <w:uiPriority w:val="99"/>
    <w:pPr>
      <w:ind w:left="1800" w:hanging="400"/>
      <w:outlineLvl w:val="6"/>
    </w:pPr>
  </w:style>
  <w:style w:type="paragraph" w:styleId="9">
    <w:name w:val="heading 8"/>
    <w:basedOn w:val="1"/>
    <w:next w:val="1"/>
    <w:link w:val="36"/>
    <w:qFormat/>
    <w:uiPriority w:val="99"/>
    <w:pPr>
      <w:ind w:left="2000" w:hanging="400"/>
      <w:outlineLvl w:val="7"/>
    </w:pPr>
  </w:style>
  <w:style w:type="paragraph" w:styleId="10">
    <w:name w:val="heading 9"/>
    <w:basedOn w:val="1"/>
    <w:next w:val="1"/>
    <w:link w:val="37"/>
    <w:qFormat/>
    <w:uiPriority w:val="99"/>
    <w:pPr>
      <w:ind w:left="2200" w:hanging="400"/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semiHidden/>
    <w:qFormat/>
    <w:uiPriority w:val="99"/>
    <w:pPr>
      <w:ind w:left="2550"/>
    </w:pPr>
  </w:style>
  <w:style w:type="paragraph" w:styleId="12">
    <w:name w:val="toc 5"/>
    <w:basedOn w:val="1"/>
    <w:next w:val="1"/>
    <w:semiHidden/>
    <w:qFormat/>
    <w:uiPriority w:val="99"/>
    <w:pPr>
      <w:ind w:left="1700"/>
    </w:pPr>
  </w:style>
  <w:style w:type="paragraph" w:styleId="13">
    <w:name w:val="toc 3"/>
    <w:basedOn w:val="1"/>
    <w:next w:val="1"/>
    <w:semiHidden/>
    <w:qFormat/>
    <w:uiPriority w:val="99"/>
    <w:pPr>
      <w:ind w:left="850"/>
    </w:pPr>
  </w:style>
  <w:style w:type="paragraph" w:styleId="14">
    <w:name w:val="toc 8"/>
    <w:basedOn w:val="1"/>
    <w:next w:val="1"/>
    <w:semiHidden/>
    <w:qFormat/>
    <w:uiPriority w:val="99"/>
    <w:pPr>
      <w:ind w:left="2975"/>
    </w:pPr>
  </w:style>
  <w:style w:type="paragraph" w:styleId="15">
    <w:name w:val="footer"/>
    <w:basedOn w:val="1"/>
    <w:link w:val="166"/>
    <w:semiHidden/>
    <w:unhideWhenUsed/>
    <w:qFormat/>
    <w:lock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165"/>
    <w:semiHidden/>
    <w:unhideWhenUsed/>
    <w:qFormat/>
    <w:lock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semiHidden/>
    <w:qFormat/>
    <w:uiPriority w:val="99"/>
  </w:style>
  <w:style w:type="paragraph" w:styleId="18">
    <w:name w:val="toc 4"/>
    <w:basedOn w:val="1"/>
    <w:next w:val="1"/>
    <w:semiHidden/>
    <w:qFormat/>
    <w:uiPriority w:val="99"/>
    <w:pPr>
      <w:ind w:left="1275"/>
    </w:pPr>
  </w:style>
  <w:style w:type="paragraph" w:styleId="19">
    <w:name w:val="Subtitle"/>
    <w:basedOn w:val="1"/>
    <w:link w:val="40"/>
    <w:qFormat/>
    <w:uiPriority w:val="99"/>
    <w:pPr>
      <w:jc w:val="center"/>
    </w:pPr>
    <w:rPr>
      <w:sz w:val="24"/>
      <w:szCs w:val="24"/>
    </w:rPr>
  </w:style>
  <w:style w:type="paragraph" w:styleId="20">
    <w:name w:val="toc 6"/>
    <w:basedOn w:val="1"/>
    <w:next w:val="1"/>
    <w:semiHidden/>
    <w:qFormat/>
    <w:uiPriority w:val="99"/>
    <w:pPr>
      <w:ind w:left="2125"/>
    </w:pPr>
  </w:style>
  <w:style w:type="paragraph" w:styleId="21">
    <w:name w:val="toc 2"/>
    <w:basedOn w:val="1"/>
    <w:next w:val="1"/>
    <w:semiHidden/>
    <w:qFormat/>
    <w:uiPriority w:val="99"/>
    <w:pPr>
      <w:ind w:left="425"/>
    </w:pPr>
  </w:style>
  <w:style w:type="paragraph" w:styleId="22">
    <w:name w:val="toc 9"/>
    <w:basedOn w:val="1"/>
    <w:next w:val="1"/>
    <w:semiHidden/>
    <w:qFormat/>
    <w:uiPriority w:val="99"/>
    <w:pPr>
      <w:ind w:left="3400"/>
    </w:pPr>
  </w:style>
  <w:style w:type="paragraph" w:styleId="23">
    <w:name w:val="Title"/>
    <w:basedOn w:val="1"/>
    <w:link w:val="39"/>
    <w:qFormat/>
    <w:uiPriority w:val="99"/>
    <w:pPr>
      <w:jc w:val="center"/>
    </w:pPr>
    <w:rPr>
      <w:b/>
      <w:bCs/>
      <w:sz w:val="32"/>
      <w:szCs w:val="32"/>
    </w:rPr>
  </w:style>
  <w:style w:type="table" w:styleId="25">
    <w:name w:val="Table Grid"/>
    <w:basedOn w:val="24"/>
    <w:qFormat/>
    <w:uiPriority w:val="99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basedOn w:val="26"/>
    <w:qFormat/>
    <w:uiPriority w:val="99"/>
    <w:rPr>
      <w:rFonts w:ascii="宋体" w:eastAsia="宋体" w:cs="宋体"/>
      <w:b/>
      <w:bCs/>
      <w:w w:val="100"/>
      <w:sz w:val="21"/>
      <w:szCs w:val="21"/>
      <w:shd w:val="clear" w:color="000000" w:fill="auto"/>
    </w:rPr>
  </w:style>
  <w:style w:type="character" w:styleId="28">
    <w:name w:val="Emphasis"/>
    <w:basedOn w:val="26"/>
    <w:qFormat/>
    <w:uiPriority w:val="99"/>
    <w:rPr>
      <w:rFonts w:ascii="宋体" w:eastAsia="宋体" w:cs="宋体"/>
      <w:i/>
      <w:iCs/>
      <w:w w:val="100"/>
      <w:sz w:val="21"/>
      <w:szCs w:val="21"/>
      <w:shd w:val="clear" w:color="000000" w:fill="auto"/>
    </w:rPr>
  </w:style>
  <w:style w:type="character" w:customStyle="1" w:styleId="29">
    <w:name w:val="标题 1 Char"/>
    <w:basedOn w:val="26"/>
    <w:link w:val="2"/>
    <w:qFormat/>
    <w:locked/>
    <w:uiPriority w:val="99"/>
    <w:rPr>
      <w:rFonts w:ascii="宋体" w:eastAsia="宋体" w:cs="宋体"/>
      <w:b/>
      <w:bCs/>
      <w:w w:val="100"/>
      <w:sz w:val="44"/>
      <w:szCs w:val="44"/>
      <w:shd w:val="clear" w:color="auto" w:fill="auto"/>
    </w:rPr>
  </w:style>
  <w:style w:type="character" w:customStyle="1" w:styleId="30">
    <w:name w:val="标题 2 Char"/>
    <w:basedOn w:val="26"/>
    <w:link w:val="3"/>
    <w:semiHidden/>
    <w:qFormat/>
    <w:locked/>
    <w:uiPriority w:val="99"/>
    <w:rPr>
      <w:rFonts w:ascii="Cambria" w:hAnsi="Cambria" w:cs="Cambria"/>
      <w:b/>
      <w:bCs/>
      <w:w w:val="100"/>
      <w:sz w:val="32"/>
      <w:szCs w:val="32"/>
      <w:shd w:val="clear" w:color="auto" w:fill="auto"/>
    </w:rPr>
  </w:style>
  <w:style w:type="character" w:customStyle="1" w:styleId="31">
    <w:name w:val="标题 3 Char"/>
    <w:basedOn w:val="26"/>
    <w:link w:val="4"/>
    <w:semiHidden/>
    <w:qFormat/>
    <w:locked/>
    <w:uiPriority w:val="99"/>
    <w:rPr>
      <w:rFonts w:ascii="宋体" w:eastAsia="宋体" w:cs="宋体"/>
      <w:b/>
      <w:bCs/>
      <w:w w:val="100"/>
      <w:sz w:val="32"/>
      <w:szCs w:val="32"/>
      <w:shd w:val="clear" w:color="auto" w:fill="auto"/>
    </w:rPr>
  </w:style>
  <w:style w:type="character" w:customStyle="1" w:styleId="32">
    <w:name w:val="标题 4 Char"/>
    <w:basedOn w:val="26"/>
    <w:link w:val="5"/>
    <w:semiHidden/>
    <w:qFormat/>
    <w:locked/>
    <w:uiPriority w:val="99"/>
    <w:rPr>
      <w:rFonts w:ascii="Cambria" w:hAnsi="Cambria" w:cs="Cambria"/>
      <w:b/>
      <w:bCs/>
      <w:w w:val="100"/>
      <w:sz w:val="28"/>
      <w:szCs w:val="28"/>
      <w:shd w:val="clear" w:color="auto" w:fill="auto"/>
    </w:rPr>
  </w:style>
  <w:style w:type="character" w:customStyle="1" w:styleId="33">
    <w:name w:val="标题 5 Char"/>
    <w:basedOn w:val="26"/>
    <w:link w:val="6"/>
    <w:semiHidden/>
    <w:qFormat/>
    <w:locked/>
    <w:uiPriority w:val="99"/>
    <w:rPr>
      <w:rFonts w:ascii="宋体" w:eastAsia="宋体" w:cs="宋体"/>
      <w:b/>
      <w:bCs/>
      <w:w w:val="100"/>
      <w:sz w:val="28"/>
      <w:szCs w:val="28"/>
      <w:shd w:val="clear" w:color="auto" w:fill="auto"/>
    </w:rPr>
  </w:style>
  <w:style w:type="character" w:customStyle="1" w:styleId="34">
    <w:name w:val="标题 6 Char"/>
    <w:basedOn w:val="26"/>
    <w:link w:val="7"/>
    <w:semiHidden/>
    <w:qFormat/>
    <w:locked/>
    <w:uiPriority w:val="99"/>
    <w:rPr>
      <w:rFonts w:ascii="Cambria" w:hAnsi="Cambria" w:cs="Cambria"/>
      <w:b/>
      <w:bCs/>
      <w:w w:val="100"/>
      <w:sz w:val="24"/>
      <w:szCs w:val="24"/>
      <w:shd w:val="clear" w:color="auto" w:fill="auto"/>
    </w:rPr>
  </w:style>
  <w:style w:type="character" w:customStyle="1" w:styleId="35">
    <w:name w:val="标题 7 Char"/>
    <w:basedOn w:val="26"/>
    <w:link w:val="8"/>
    <w:semiHidden/>
    <w:qFormat/>
    <w:locked/>
    <w:uiPriority w:val="99"/>
    <w:rPr>
      <w:rFonts w:ascii="宋体" w:eastAsia="宋体" w:cs="宋体"/>
      <w:b/>
      <w:bCs/>
      <w:w w:val="100"/>
      <w:sz w:val="24"/>
      <w:szCs w:val="24"/>
      <w:shd w:val="clear" w:color="auto" w:fill="auto"/>
    </w:rPr>
  </w:style>
  <w:style w:type="character" w:customStyle="1" w:styleId="36">
    <w:name w:val="标题 8 Char"/>
    <w:basedOn w:val="26"/>
    <w:link w:val="9"/>
    <w:semiHidden/>
    <w:qFormat/>
    <w:locked/>
    <w:uiPriority w:val="99"/>
    <w:rPr>
      <w:rFonts w:ascii="Cambria" w:hAnsi="Cambria" w:cs="Cambria"/>
      <w:w w:val="100"/>
      <w:sz w:val="24"/>
      <w:szCs w:val="24"/>
      <w:shd w:val="clear" w:color="auto" w:fill="auto"/>
    </w:rPr>
  </w:style>
  <w:style w:type="character" w:customStyle="1" w:styleId="37">
    <w:name w:val="标题 9 Char"/>
    <w:basedOn w:val="26"/>
    <w:link w:val="10"/>
    <w:semiHidden/>
    <w:qFormat/>
    <w:locked/>
    <w:uiPriority w:val="99"/>
    <w:rPr>
      <w:rFonts w:ascii="Cambria" w:hAnsi="Cambria" w:cs="Cambria"/>
      <w:w w:val="100"/>
      <w:sz w:val="21"/>
      <w:szCs w:val="21"/>
      <w:shd w:val="clear" w:color="auto" w:fill="auto"/>
    </w:rPr>
  </w:style>
  <w:style w:type="paragraph" w:styleId="38">
    <w:name w:val="No Spacing"/>
    <w:qFormat/>
    <w:uiPriority w:val="99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39">
    <w:name w:val="标题 Char"/>
    <w:basedOn w:val="26"/>
    <w:link w:val="23"/>
    <w:qFormat/>
    <w:locked/>
    <w:uiPriority w:val="99"/>
    <w:rPr>
      <w:rFonts w:ascii="Cambria" w:hAnsi="Cambria" w:cs="Cambria"/>
      <w:b/>
      <w:bCs/>
      <w:w w:val="100"/>
      <w:sz w:val="32"/>
      <w:szCs w:val="32"/>
      <w:shd w:val="clear" w:color="auto" w:fill="auto"/>
    </w:rPr>
  </w:style>
  <w:style w:type="character" w:customStyle="1" w:styleId="40">
    <w:name w:val="副标题 Char"/>
    <w:basedOn w:val="26"/>
    <w:link w:val="19"/>
    <w:qFormat/>
    <w:locked/>
    <w:uiPriority w:val="99"/>
    <w:rPr>
      <w:rFonts w:ascii="Cambria" w:hAnsi="Cambria" w:cs="Cambria"/>
      <w:b/>
      <w:bCs/>
      <w:w w:val="100"/>
      <w:sz w:val="32"/>
      <w:szCs w:val="32"/>
      <w:shd w:val="clear" w:color="auto" w:fill="auto"/>
    </w:rPr>
  </w:style>
  <w:style w:type="character" w:customStyle="1" w:styleId="41">
    <w:name w:val="Subtle Emphasis"/>
    <w:basedOn w:val="26"/>
    <w:qFormat/>
    <w:uiPriority w:val="99"/>
    <w:rPr>
      <w:rFonts w:ascii="宋体" w:eastAsia="宋体" w:cs="宋体"/>
      <w:i/>
      <w:iCs/>
      <w:color w:val="404040"/>
      <w:w w:val="100"/>
      <w:sz w:val="21"/>
      <w:szCs w:val="21"/>
      <w:shd w:val="clear" w:color="000000" w:fill="auto"/>
    </w:rPr>
  </w:style>
  <w:style w:type="character" w:customStyle="1" w:styleId="42">
    <w:name w:val="Intense Emphasis"/>
    <w:basedOn w:val="26"/>
    <w:qFormat/>
    <w:uiPriority w:val="99"/>
    <w:rPr>
      <w:rFonts w:ascii="宋体" w:eastAsia="宋体" w:cs="宋体"/>
      <w:i/>
      <w:iCs/>
      <w:color w:val="5B9BD5"/>
      <w:w w:val="100"/>
      <w:sz w:val="21"/>
      <w:szCs w:val="21"/>
      <w:shd w:val="clear" w:color="000000" w:fill="auto"/>
    </w:rPr>
  </w:style>
  <w:style w:type="paragraph" w:styleId="43">
    <w:name w:val="Quote"/>
    <w:basedOn w:val="1"/>
    <w:link w:val="44"/>
    <w:qFormat/>
    <w:uiPriority w:val="99"/>
    <w:pPr>
      <w:ind w:left="864" w:right="864"/>
      <w:jc w:val="center"/>
    </w:pPr>
    <w:rPr>
      <w:i/>
      <w:iCs/>
      <w:color w:val="404040"/>
    </w:rPr>
  </w:style>
  <w:style w:type="character" w:customStyle="1" w:styleId="44">
    <w:name w:val="引用 Char"/>
    <w:basedOn w:val="26"/>
    <w:link w:val="43"/>
    <w:qFormat/>
    <w:locked/>
    <w:uiPriority w:val="99"/>
    <w:rPr>
      <w:rFonts w:ascii="宋体" w:eastAsia="宋体" w:cs="宋体"/>
      <w:i/>
      <w:iCs/>
      <w:color w:val="000000"/>
      <w:w w:val="100"/>
      <w:sz w:val="21"/>
      <w:szCs w:val="21"/>
      <w:shd w:val="clear" w:color="auto" w:fill="auto"/>
    </w:rPr>
  </w:style>
  <w:style w:type="paragraph" w:styleId="45">
    <w:name w:val="Intense Quote"/>
    <w:basedOn w:val="1"/>
    <w:link w:val="46"/>
    <w:qFormat/>
    <w:uiPriority w:val="99"/>
    <w:pPr>
      <w:ind w:left="950" w:right="950"/>
      <w:jc w:val="center"/>
    </w:pPr>
    <w:rPr>
      <w:i/>
      <w:iCs/>
      <w:color w:val="5B9BD5"/>
    </w:rPr>
  </w:style>
  <w:style w:type="character" w:customStyle="1" w:styleId="46">
    <w:name w:val="明显引用 Char"/>
    <w:basedOn w:val="26"/>
    <w:link w:val="45"/>
    <w:qFormat/>
    <w:locked/>
    <w:uiPriority w:val="99"/>
    <w:rPr>
      <w:rFonts w:ascii="宋体" w:eastAsia="宋体" w:cs="宋体"/>
      <w:b/>
      <w:bCs/>
      <w:i/>
      <w:iCs/>
      <w:color w:val="auto"/>
      <w:w w:val="100"/>
      <w:sz w:val="21"/>
      <w:szCs w:val="21"/>
      <w:shd w:val="clear" w:color="auto" w:fill="auto"/>
    </w:rPr>
  </w:style>
  <w:style w:type="character" w:customStyle="1" w:styleId="47">
    <w:name w:val="Subtle Reference"/>
    <w:basedOn w:val="26"/>
    <w:qFormat/>
    <w:uiPriority w:val="99"/>
    <w:rPr>
      <w:rFonts w:ascii="宋体" w:eastAsia="宋体" w:cs="宋体"/>
      <w:smallCaps/>
      <w:color w:val="auto"/>
      <w:w w:val="100"/>
      <w:sz w:val="21"/>
      <w:szCs w:val="21"/>
      <w:shd w:val="clear" w:color="000000" w:fill="auto"/>
    </w:rPr>
  </w:style>
  <w:style w:type="character" w:customStyle="1" w:styleId="48">
    <w:name w:val="Intense Reference"/>
    <w:basedOn w:val="26"/>
    <w:qFormat/>
    <w:uiPriority w:val="99"/>
    <w:rPr>
      <w:rFonts w:ascii="宋体" w:eastAsia="宋体" w:cs="宋体"/>
      <w:b/>
      <w:bCs/>
      <w:smallCaps/>
      <w:color w:val="5B9BD5"/>
      <w:w w:val="100"/>
      <w:sz w:val="21"/>
      <w:szCs w:val="21"/>
      <w:shd w:val="clear" w:color="000000" w:fill="auto"/>
    </w:rPr>
  </w:style>
  <w:style w:type="character" w:customStyle="1" w:styleId="49">
    <w:name w:val="Book Title"/>
    <w:basedOn w:val="26"/>
    <w:qFormat/>
    <w:uiPriority w:val="99"/>
    <w:rPr>
      <w:rFonts w:ascii="宋体" w:eastAsia="宋体" w:cs="宋体"/>
      <w:b/>
      <w:bCs/>
      <w:i/>
      <w:iCs/>
      <w:w w:val="100"/>
      <w:sz w:val="21"/>
      <w:szCs w:val="21"/>
      <w:shd w:val="clear" w:color="000000" w:fill="auto"/>
    </w:rPr>
  </w:style>
  <w:style w:type="paragraph" w:styleId="50">
    <w:name w:val="List Paragraph"/>
    <w:basedOn w:val="1"/>
    <w:qFormat/>
    <w:uiPriority w:val="99"/>
    <w:pPr>
      <w:ind w:left="850"/>
    </w:pPr>
  </w:style>
  <w:style w:type="paragraph" w:customStyle="1" w:styleId="51">
    <w:name w:val="TOC Heading"/>
    <w:basedOn w:val="2"/>
    <w:qFormat/>
    <w:uiPriority w:val="99"/>
    <w:rPr>
      <w:color w:val="2E74B5"/>
      <w:sz w:val="32"/>
      <w:szCs w:val="32"/>
    </w:rPr>
  </w:style>
  <w:style w:type="table" w:customStyle="1" w:styleId="52">
    <w:name w:val="Grid Table Light"/>
    <w:qFormat/>
    <w:uiPriority w:val="99"/>
    <w:pPr>
      <w:jc w:val="both"/>
    </w:pPr>
    <w:tblPr>
      <w:tblBorders>
        <w:top w:val="single" w:color="CCCCCC" w:sz="4" w:space="0"/>
        <w:left w:val="single" w:color="CCCCCC" w:sz="4" w:space="0"/>
        <w:bottom w:val="single" w:color="CCCCCC" w:sz="4" w:space="0"/>
        <w:right w:val="single" w:color="CCCCCC" w:sz="4" w:space="0"/>
        <w:insideH w:val="single" w:color="CCCCCC" w:sz="4" w:space="0"/>
        <w:insideV w:val="single" w:color="CCCCCC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Plain Table 1"/>
    <w:uiPriority w:val="99"/>
    <w:pPr>
      <w:jc w:val="both"/>
    </w:pPr>
    <w:tblPr>
      <w:tblBorders>
        <w:top w:val="single" w:color="CCCCCC" w:sz="4" w:space="0"/>
        <w:left w:val="single" w:color="CCCCCC" w:sz="4" w:space="0"/>
        <w:bottom w:val="single" w:color="CCCCCC" w:sz="4" w:space="0"/>
        <w:right w:val="single" w:color="CCCCCC" w:sz="4" w:space="0"/>
        <w:insideH w:val="single" w:color="CCCCCC" w:sz="4" w:space="0"/>
        <w:insideV w:val="single" w:color="CCCCCC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Plain Table 2"/>
    <w:qFormat/>
    <w:uiPriority w:val="99"/>
    <w:pPr>
      <w:jc w:val="both"/>
    </w:pPr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Plain Table 3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Plain Table 4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Plain Table 5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Grid Table 1 Light"/>
    <w:qFormat/>
    <w:uiPriority w:val="99"/>
    <w:pPr>
      <w:jc w:val="both"/>
    </w:p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Grid Table 1 Light Accent 1"/>
    <w:qFormat/>
    <w:uiPriority w:val="99"/>
    <w:pPr>
      <w:jc w:val="both"/>
    </w:pPr>
    <w:tblPr>
      <w:tblBorders>
        <w:top w:val="single" w:color="BDD6EE" w:sz="4" w:space="0"/>
        <w:left w:val="single" w:color="BDD6EE" w:sz="4" w:space="0"/>
        <w:bottom w:val="single" w:color="BDD6EE" w:sz="4" w:space="0"/>
        <w:right w:val="single" w:color="BDD6EE" w:sz="4" w:space="0"/>
        <w:insideH w:val="single" w:color="BDD6EE" w:sz="4" w:space="0"/>
        <w:insideV w:val="single" w:color="BDD6EE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Grid Table 1 Light Accent 2"/>
    <w:uiPriority w:val="99"/>
    <w:pPr>
      <w:jc w:val="both"/>
    </w:pPr>
    <w:tblPr>
      <w:tblBorders>
        <w:top w:val="single" w:color="F7CAAC" w:sz="4" w:space="0"/>
        <w:left w:val="single" w:color="F7CAAC" w:sz="4" w:space="0"/>
        <w:bottom w:val="single" w:color="F7CAAC" w:sz="4" w:space="0"/>
        <w:right w:val="single" w:color="F7CAAC" w:sz="4" w:space="0"/>
        <w:insideH w:val="single" w:color="F7CAAC" w:sz="4" w:space="0"/>
        <w:insideV w:val="single" w:color="F7CAAC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Grid Table 1 Light Accent 3"/>
    <w:qFormat/>
    <w:uiPriority w:val="99"/>
    <w:pPr>
      <w:jc w:val="both"/>
    </w:p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Grid Table 1 Light Accent 4"/>
    <w:qFormat/>
    <w:uiPriority w:val="99"/>
    <w:pPr>
      <w:jc w:val="both"/>
    </w:pPr>
    <w:tblPr>
      <w:tblBorders>
        <w:top w:val="single" w:color="FFE599" w:sz="4" w:space="0"/>
        <w:left w:val="single" w:color="FFE599" w:sz="4" w:space="0"/>
        <w:bottom w:val="single" w:color="FFE599" w:sz="4" w:space="0"/>
        <w:right w:val="single" w:color="FFE599" w:sz="4" w:space="0"/>
        <w:insideH w:val="single" w:color="FFE599" w:sz="4" w:space="0"/>
        <w:insideV w:val="single" w:color="FFE59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Grid Table 1 Light Accent 5"/>
    <w:qFormat/>
    <w:uiPriority w:val="99"/>
    <w:pPr>
      <w:jc w:val="both"/>
    </w:pPr>
    <w:tblPr>
      <w:tblBorders>
        <w:top w:val="single" w:color="B4C6E7" w:sz="4" w:space="0"/>
        <w:left w:val="single" w:color="B4C6E7" w:sz="4" w:space="0"/>
        <w:bottom w:val="single" w:color="B4C6E7" w:sz="4" w:space="0"/>
        <w:right w:val="single" w:color="B4C6E7" w:sz="4" w:space="0"/>
        <w:insideH w:val="single" w:color="B4C6E7" w:sz="4" w:space="0"/>
        <w:insideV w:val="single" w:color="B4C6E7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Grid Table 1 Light Accent 6"/>
    <w:qFormat/>
    <w:uiPriority w:val="99"/>
    <w:pPr>
      <w:jc w:val="both"/>
    </w:pPr>
    <w:tblPr>
      <w:tblBorders>
        <w:top w:val="single" w:color="C5E0B3" w:sz="4" w:space="0"/>
        <w:left w:val="single" w:color="C5E0B3" w:sz="4" w:space="0"/>
        <w:bottom w:val="single" w:color="C5E0B3" w:sz="4" w:space="0"/>
        <w:right w:val="single" w:color="C5E0B3" w:sz="4" w:space="0"/>
        <w:insideH w:val="single" w:color="C5E0B3" w:sz="4" w:space="0"/>
        <w:insideV w:val="single" w:color="C5E0B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Grid Table 2"/>
    <w:qFormat/>
    <w:uiPriority w:val="99"/>
    <w:pPr>
      <w:jc w:val="both"/>
    </w:pPr>
    <w:tblPr>
      <w:tblBorders>
        <w:top w:val="single" w:color="666666" w:sz="2" w:space="0"/>
        <w:bottom w:val="single" w:color="666666" w:sz="2" w:space="0"/>
        <w:insideH w:val="single" w:color="666666" w:sz="2" w:space="0"/>
        <w:insideV w:val="single" w:color="666666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Grid Table 2 Accent 1"/>
    <w:qFormat/>
    <w:uiPriority w:val="99"/>
    <w:pPr>
      <w:jc w:val="both"/>
    </w:pPr>
    <w:tblPr>
      <w:tblBorders>
        <w:top w:val="single" w:color="9CC2E5" w:sz="2" w:space="0"/>
        <w:bottom w:val="single" w:color="9CC2E5" w:sz="2" w:space="0"/>
        <w:insideH w:val="single" w:color="9CC2E5" w:sz="2" w:space="0"/>
        <w:insideV w:val="single" w:color="9CC2E5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Grid Table 2 Accent 2"/>
    <w:uiPriority w:val="99"/>
    <w:pPr>
      <w:jc w:val="both"/>
    </w:pPr>
    <w:tblPr>
      <w:tblBorders>
        <w:top w:val="single" w:color="F4B083" w:sz="2" w:space="0"/>
        <w:bottom w:val="single" w:color="F4B083" w:sz="2" w:space="0"/>
        <w:insideH w:val="single" w:color="F4B083" w:sz="2" w:space="0"/>
        <w:insideV w:val="single" w:color="F4B083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Grid Table 2 Accent 3"/>
    <w:qFormat/>
    <w:uiPriority w:val="99"/>
    <w:pPr>
      <w:jc w:val="both"/>
    </w:pPr>
    <w:tblPr>
      <w:tblBorders>
        <w:top w:val="single" w:color="C9C9C9" w:sz="2" w:space="0"/>
        <w:bottom w:val="single" w:color="C9C9C9" w:sz="2" w:space="0"/>
        <w:insideH w:val="single" w:color="C9C9C9" w:sz="2" w:space="0"/>
        <w:insideV w:val="single" w:color="C9C9C9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Grid Table 2 Accent 4"/>
    <w:qFormat/>
    <w:uiPriority w:val="99"/>
    <w:pPr>
      <w:jc w:val="both"/>
    </w:pPr>
    <w:tblPr>
      <w:tblBorders>
        <w:top w:val="single" w:color="FFD966" w:sz="2" w:space="0"/>
        <w:bottom w:val="single" w:color="FFD966" w:sz="2" w:space="0"/>
        <w:insideH w:val="single" w:color="FFD966" w:sz="2" w:space="0"/>
        <w:insideV w:val="single" w:color="FFD966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Grid Table 2 Accent 5"/>
    <w:qFormat/>
    <w:uiPriority w:val="99"/>
    <w:pPr>
      <w:jc w:val="both"/>
    </w:pPr>
    <w:tblPr>
      <w:tblBorders>
        <w:top w:val="single" w:color="8EAADB" w:sz="2" w:space="0"/>
        <w:bottom w:val="single" w:color="8EAADB" w:sz="2" w:space="0"/>
        <w:insideH w:val="single" w:color="8EAADB" w:sz="2" w:space="0"/>
        <w:insideV w:val="single" w:color="8EAADB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Grid Table 2 Accent 6"/>
    <w:qFormat/>
    <w:uiPriority w:val="99"/>
    <w:pPr>
      <w:jc w:val="both"/>
    </w:pPr>
    <w:tblPr>
      <w:tblBorders>
        <w:top w:val="single" w:color="A8D08D" w:sz="2" w:space="0"/>
        <w:bottom w:val="single" w:color="A8D08D" w:sz="2" w:space="0"/>
        <w:insideH w:val="single" w:color="A8D08D" w:sz="2" w:space="0"/>
        <w:insideV w:val="single" w:color="A8D08D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Grid Table 3"/>
    <w:qFormat/>
    <w:uiPriority w:val="99"/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Grid Table 3 Accent 1"/>
    <w:qFormat/>
    <w:uiPriority w:val="99"/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Grid Table 3 Accent 2"/>
    <w:uiPriority w:val="99"/>
    <w:tblPr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  <w:insideV w:val="single" w:color="F4B08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Grid Table 3 Accent 3"/>
    <w:qFormat/>
    <w:uiPriority w:val="99"/>
    <w:tblPr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Grid Table 3 Accent 4"/>
    <w:qFormat/>
    <w:uiPriority w:val="99"/>
    <w:tblPr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  <w:insideV w:val="single" w:color="FFD9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Grid Table 3 Accent 5"/>
    <w:qFormat/>
    <w:uiPriority w:val="99"/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Grid Table 3 Accent 6"/>
    <w:qFormat/>
    <w:uiPriority w:val="99"/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">
    <w:name w:val="Grid Table 4"/>
    <w:qFormat/>
    <w:uiPriority w:val="99"/>
    <w:pPr>
      <w:jc w:val="both"/>
    </w:pPr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Grid Table 4 Accent 1"/>
    <w:qFormat/>
    <w:uiPriority w:val="99"/>
    <w:pPr>
      <w:jc w:val="both"/>
    </w:pPr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Grid Table 4 Accent 2"/>
    <w:uiPriority w:val="99"/>
    <w:pPr>
      <w:jc w:val="both"/>
    </w:pPr>
    <w:tblPr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  <w:insideV w:val="single" w:color="F4B08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Grid Table 4 Accent 3"/>
    <w:qFormat/>
    <w:uiPriority w:val="99"/>
    <w:pPr>
      <w:jc w:val="both"/>
    </w:pPr>
    <w:tblPr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Grid Table 4 Accent 4"/>
    <w:qFormat/>
    <w:uiPriority w:val="99"/>
    <w:pPr>
      <w:jc w:val="both"/>
    </w:pPr>
    <w:tblPr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  <w:insideV w:val="single" w:color="FFD9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Grid Table 4 Accent 5"/>
    <w:qFormat/>
    <w:uiPriority w:val="99"/>
    <w:pPr>
      <w:jc w:val="both"/>
    </w:pPr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Grid Table 4 Accent 6"/>
    <w:qFormat/>
    <w:uiPriority w:val="99"/>
    <w:pPr>
      <w:jc w:val="both"/>
    </w:p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Grid Table 5 Dark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CCCCCC"/>
    </w:tcPr>
  </w:style>
  <w:style w:type="table" w:customStyle="1" w:styleId="87">
    <w:name w:val="Grid Table 5 Dark Accent 1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DEEAF6"/>
    </w:tcPr>
  </w:style>
  <w:style w:type="table" w:customStyle="1" w:styleId="88">
    <w:name w:val="Grid Table 5 Dark Accent 2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FBE4D5"/>
    </w:tcPr>
  </w:style>
  <w:style w:type="table" w:customStyle="1" w:styleId="89">
    <w:name w:val="Grid Table 5 Dark Accent 3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EDEDED"/>
    </w:tcPr>
  </w:style>
  <w:style w:type="table" w:customStyle="1" w:styleId="90">
    <w:name w:val="Grid Table 5 Dark Accent 4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FFF2CC"/>
    </w:tcPr>
  </w:style>
  <w:style w:type="table" w:customStyle="1" w:styleId="91">
    <w:name w:val="Grid Table 5 Dark Accent 5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D9E2F3"/>
    </w:tcPr>
  </w:style>
  <w:style w:type="table" w:customStyle="1" w:styleId="92">
    <w:name w:val="Grid Table 5 Dark Accent 6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E2EFD9"/>
    </w:tcPr>
  </w:style>
  <w:style w:type="table" w:customStyle="1" w:styleId="93">
    <w:name w:val="Grid Table 6 Colorful"/>
    <w:qFormat/>
    <w:uiPriority w:val="99"/>
    <w:pPr>
      <w:jc w:val="both"/>
    </w:pPr>
    <w:rPr>
      <w:color w:val="000000"/>
    </w:rPr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Grid Table 6 Colorful Accent 1"/>
    <w:qFormat/>
    <w:uiPriority w:val="99"/>
    <w:pPr>
      <w:jc w:val="both"/>
    </w:pPr>
    <w:rPr>
      <w:color w:val="3583CB"/>
    </w:rPr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">
    <w:name w:val="Grid Table 6 Colorful Accent 2"/>
    <w:qFormat/>
    <w:uiPriority w:val="99"/>
    <w:pPr>
      <w:jc w:val="both"/>
    </w:pPr>
    <w:rPr>
      <w:color w:val="DE6513"/>
    </w:rPr>
    <w:tblPr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  <w:insideV w:val="single" w:color="F4B08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">
    <w:name w:val="Grid Table 6 Colorful Accent 3"/>
    <w:qFormat/>
    <w:uiPriority w:val="99"/>
    <w:pPr>
      <w:jc w:val="both"/>
    </w:pPr>
    <w:rPr>
      <w:color w:val="8B8B8B"/>
    </w:rPr>
    <w:tblPr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">
    <w:name w:val="Grid Table 6 Colorful Accent 4"/>
    <w:qFormat/>
    <w:uiPriority w:val="99"/>
    <w:pPr>
      <w:jc w:val="both"/>
    </w:pPr>
    <w:rPr>
      <w:color w:val="D8A200"/>
    </w:rPr>
    <w:tblPr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  <w:insideV w:val="single" w:color="FFD9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">
    <w:name w:val="Grid Table 6 Colorful Accent 5"/>
    <w:qFormat/>
    <w:uiPriority w:val="99"/>
    <w:pPr>
      <w:jc w:val="both"/>
    </w:pPr>
    <w:rPr>
      <w:color w:val="355FA9"/>
    </w:rPr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">
    <w:name w:val="Grid Table 6 Colorful Accent 6"/>
    <w:qFormat/>
    <w:uiPriority w:val="99"/>
    <w:pPr>
      <w:jc w:val="both"/>
    </w:pPr>
    <w:rPr>
      <w:color w:val="5E923C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Grid Table 7 Colorful"/>
    <w:qFormat/>
    <w:uiPriority w:val="99"/>
    <w:rPr>
      <w:color w:val="000000"/>
    </w:rPr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Grid Table 7 Colorful Accent 1"/>
    <w:qFormat/>
    <w:uiPriority w:val="99"/>
    <w:rPr>
      <w:color w:val="3583CB"/>
    </w:rPr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Grid Table 7 Colorful Accent 2"/>
    <w:qFormat/>
    <w:uiPriority w:val="99"/>
    <w:rPr>
      <w:color w:val="DE6513"/>
    </w:rPr>
    <w:tblPr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  <w:insideV w:val="single" w:color="F4B08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Grid Table 7 Colorful Accent 3"/>
    <w:qFormat/>
    <w:uiPriority w:val="99"/>
    <w:rPr>
      <w:color w:val="8B8B8B"/>
    </w:rPr>
    <w:tblPr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Grid Table 7 Colorful Accent 4"/>
    <w:qFormat/>
    <w:uiPriority w:val="99"/>
    <w:rPr>
      <w:color w:val="D8A200"/>
    </w:rPr>
    <w:tblPr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  <w:insideV w:val="single" w:color="FFD9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">
    <w:name w:val="Grid Table 7 Colorful Accent 5"/>
    <w:qFormat/>
    <w:uiPriority w:val="99"/>
    <w:rPr>
      <w:color w:val="355FA9"/>
    </w:rPr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">
    <w:name w:val="Grid Table 7 Colorful Accent 6"/>
    <w:qFormat/>
    <w:uiPriority w:val="99"/>
    <w:rPr>
      <w:color w:val="5E923C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">
    <w:name w:val="List Table 1 Light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">
    <w:name w:val="List Table 1 Light Accent 1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">
    <w:name w:val="List Table 1 Light Accent 2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List Table 1 Light Accent 3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List Table 1 Light Accent 4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List Table 1 Light Accent 5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List Table 1 Light Accent 6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List Table 2"/>
    <w:qFormat/>
    <w:uiPriority w:val="99"/>
    <w:pPr>
      <w:jc w:val="both"/>
    </w:pPr>
    <w:tblPr>
      <w:tblBorders>
        <w:top w:val="single" w:color="666666" w:sz="4" w:space="0"/>
        <w:bottom w:val="single" w:color="666666" w:sz="4" w:space="0"/>
        <w:insideH w:val="single" w:color="6666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List Table 2 Accent 1"/>
    <w:qFormat/>
    <w:uiPriority w:val="99"/>
    <w:pPr>
      <w:jc w:val="both"/>
    </w:pPr>
    <w:tblPr>
      <w:tblBorders>
        <w:top w:val="single" w:color="9CC2E5" w:sz="4" w:space="0"/>
        <w:bottom w:val="single" w:color="9CC2E5" w:sz="4" w:space="0"/>
        <w:insideH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List Table 2 Accent 2"/>
    <w:qFormat/>
    <w:uiPriority w:val="99"/>
    <w:pPr>
      <w:jc w:val="both"/>
    </w:pPr>
    <w:tblPr>
      <w:tblBorders>
        <w:top w:val="single" w:color="F4B083" w:sz="4" w:space="0"/>
        <w:bottom w:val="single" w:color="F4B083" w:sz="4" w:space="0"/>
        <w:insideH w:val="single" w:color="F4B08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List Table 2 Accent 3"/>
    <w:qFormat/>
    <w:uiPriority w:val="99"/>
    <w:pPr>
      <w:jc w:val="both"/>
    </w:pPr>
    <w:tblPr>
      <w:tblBorders>
        <w:top w:val="single" w:color="C9C9C9" w:sz="4" w:space="0"/>
        <w:bottom w:val="single" w:color="C9C9C9" w:sz="4" w:space="0"/>
        <w:insideH w:val="single" w:color="C9C9C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List Table 2 Accent 4"/>
    <w:qFormat/>
    <w:uiPriority w:val="99"/>
    <w:pPr>
      <w:jc w:val="both"/>
    </w:pPr>
    <w:tblPr>
      <w:tblBorders>
        <w:top w:val="single" w:color="FFD966" w:sz="4" w:space="0"/>
        <w:bottom w:val="single" w:color="FFD966" w:sz="4" w:space="0"/>
        <w:insideH w:val="single" w:color="FFD9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List Table 2 Accent 5"/>
    <w:qFormat/>
    <w:uiPriority w:val="99"/>
    <w:pPr>
      <w:jc w:val="both"/>
    </w:pPr>
    <w:tblPr>
      <w:tblBorders>
        <w:top w:val="single" w:color="8EAADB" w:sz="4" w:space="0"/>
        <w:bottom w:val="single" w:color="8EAADB" w:sz="4" w:space="0"/>
        <w:insideH w:val="single" w:color="8EAA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List Table 2 Accent 6"/>
    <w:qFormat/>
    <w:uiPriority w:val="99"/>
    <w:pPr>
      <w:jc w:val="both"/>
    </w:pPr>
    <w:tblPr>
      <w:tblBorders>
        <w:top w:val="single" w:color="A8D08D" w:sz="4" w:space="0"/>
        <w:bottom w:val="single" w:color="A8D08D" w:sz="4" w:space="0"/>
        <w:insideH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List Table 3"/>
    <w:qFormat/>
    <w:uiPriority w:val="99"/>
    <w:pPr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List Table 3 Accent 1"/>
    <w:qFormat/>
    <w:uiPriority w:val="99"/>
    <w:pPr>
      <w:jc w:val="both"/>
    </w:pPr>
    <w:tblPr>
      <w:tblBorders>
        <w:top w:val="single" w:color="5B9BD5" w:sz="4" w:space="0"/>
        <w:left w:val="single" w:color="5B9BD5" w:sz="4" w:space="0"/>
        <w:bottom w:val="single" w:color="5B9BD5" w:sz="4" w:space="0"/>
        <w:right w:val="single" w:color="5B9BD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List Table 3 Accent 2"/>
    <w:qFormat/>
    <w:uiPriority w:val="99"/>
    <w:pPr>
      <w:jc w:val="both"/>
    </w:p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List Table 3 Accent 3"/>
    <w:qFormat/>
    <w:uiPriority w:val="99"/>
    <w:pPr>
      <w:jc w:val="both"/>
    </w:pPr>
    <w:tblPr>
      <w:tblBorders>
        <w:top w:val="single" w:color="A5A5A5" w:sz="4" w:space="0"/>
        <w:left w:val="single" w:color="A5A5A5" w:sz="4" w:space="0"/>
        <w:bottom w:val="single" w:color="A5A5A5" w:sz="4" w:space="0"/>
        <w:right w:val="single" w:color="A5A5A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List Table 3 Accent 4"/>
    <w:qFormat/>
    <w:uiPriority w:val="99"/>
    <w:pPr>
      <w:jc w:val="both"/>
    </w:pPr>
    <w:tblPr>
      <w:tblBorders>
        <w:top w:val="single" w:color="FFC000" w:sz="4" w:space="0"/>
        <w:left w:val="single" w:color="FFC000" w:sz="4" w:space="0"/>
        <w:bottom w:val="single" w:color="FFC000" w:sz="4" w:space="0"/>
        <w:right w:val="single" w:color="FFC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List Table 3 Accent 5"/>
    <w:qFormat/>
    <w:uiPriority w:val="99"/>
    <w:pPr>
      <w:jc w:val="both"/>
    </w:pPr>
    <w:tblPr>
      <w:tblBorders>
        <w:top w:val="single" w:color="4472C4" w:sz="4" w:space="0"/>
        <w:left w:val="single" w:color="4472C4" w:sz="4" w:space="0"/>
        <w:bottom w:val="single" w:color="4472C4" w:sz="4" w:space="0"/>
        <w:right w:val="single" w:color="4472C4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List Table 3 Accent 6"/>
    <w:qFormat/>
    <w:uiPriority w:val="99"/>
    <w:pPr>
      <w:jc w:val="both"/>
    </w:pPr>
    <w:tblPr>
      <w:tblBorders>
        <w:top w:val="single" w:color="70AD47" w:sz="4" w:space="0"/>
        <w:left w:val="single" w:color="70AD47" w:sz="4" w:space="0"/>
        <w:bottom w:val="single" w:color="70AD47" w:sz="4" w:space="0"/>
        <w:right w:val="single" w:color="70AD47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List Table 4"/>
    <w:qFormat/>
    <w:uiPriority w:val="99"/>
    <w:pPr>
      <w:jc w:val="both"/>
    </w:pPr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List Table 4 Accent 1"/>
    <w:qFormat/>
    <w:uiPriority w:val="99"/>
    <w:pPr>
      <w:jc w:val="both"/>
    </w:pPr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List Table 4 Accent 2"/>
    <w:qFormat/>
    <w:uiPriority w:val="99"/>
    <w:pPr>
      <w:jc w:val="both"/>
    </w:pPr>
    <w:tblPr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List Table 4 Accent 3"/>
    <w:qFormat/>
    <w:uiPriority w:val="99"/>
    <w:pPr>
      <w:jc w:val="both"/>
    </w:pPr>
    <w:tblPr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List Table 4 Accent 4"/>
    <w:qFormat/>
    <w:uiPriority w:val="99"/>
    <w:pPr>
      <w:jc w:val="both"/>
    </w:pPr>
    <w:tblPr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List Table 4 Accent 5"/>
    <w:qFormat/>
    <w:uiPriority w:val="99"/>
    <w:pPr>
      <w:jc w:val="both"/>
    </w:pPr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List Table 4 Accent 6"/>
    <w:qFormat/>
    <w:uiPriority w:val="99"/>
    <w:pPr>
      <w:jc w:val="both"/>
    </w:p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List Table 5"/>
    <w:qFormat/>
    <w:uiPriority w:val="99"/>
    <w:pPr>
      <w:jc w:val="both"/>
    </w:pPr>
    <w:rPr>
      <w:color w:val="FFFFFF"/>
    </w:rPr>
    <w:tblPr>
      <w:tblBorders>
        <w:top w:val="single" w:color="000000" w:sz="24" w:space="0"/>
        <w:left w:val="single" w:color="000000" w:sz="24" w:space="0"/>
        <w:bottom w:val="single" w:color="000000" w:sz="24" w:space="0"/>
        <w:right w:val="single" w:color="000000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000000"/>
    </w:tcPr>
  </w:style>
  <w:style w:type="table" w:customStyle="1" w:styleId="136">
    <w:name w:val="List Table 5 Accent 1"/>
    <w:qFormat/>
    <w:uiPriority w:val="99"/>
    <w:pPr>
      <w:jc w:val="both"/>
    </w:pPr>
    <w:rPr>
      <w:color w:val="FFFFFF"/>
    </w:rPr>
    <w:tblPr>
      <w:tblBorders>
        <w:top w:val="single" w:color="5B9BD5" w:sz="24" w:space="0"/>
        <w:left w:val="single" w:color="5B9BD5" w:sz="24" w:space="0"/>
        <w:bottom w:val="single" w:color="5B9BD5" w:sz="24" w:space="0"/>
        <w:right w:val="single" w:color="5B9BD5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5B9BD5"/>
    </w:tcPr>
  </w:style>
  <w:style w:type="table" w:customStyle="1" w:styleId="137">
    <w:name w:val="List Table 5 Accent 2"/>
    <w:qFormat/>
    <w:uiPriority w:val="99"/>
    <w:pPr>
      <w:jc w:val="both"/>
    </w:pPr>
    <w:rPr>
      <w:color w:val="FFFFFF"/>
    </w:rPr>
    <w:tblPr>
      <w:tblBorders>
        <w:top w:val="single" w:color="ED7D31" w:sz="24" w:space="0"/>
        <w:left w:val="single" w:color="ED7D31" w:sz="24" w:space="0"/>
        <w:bottom w:val="single" w:color="ED7D31" w:sz="24" w:space="0"/>
        <w:right w:val="single" w:color="ED7D31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ED7D31"/>
    </w:tcPr>
  </w:style>
  <w:style w:type="table" w:customStyle="1" w:styleId="138">
    <w:name w:val="List Table 5 Accent 3"/>
    <w:qFormat/>
    <w:uiPriority w:val="99"/>
    <w:pPr>
      <w:jc w:val="both"/>
    </w:pPr>
    <w:rPr>
      <w:color w:val="FFFFFF"/>
    </w:rPr>
    <w:tblPr>
      <w:tblBorders>
        <w:top w:val="single" w:color="A5A5A5" w:sz="24" w:space="0"/>
        <w:left w:val="single" w:color="A5A5A5" w:sz="24" w:space="0"/>
        <w:bottom w:val="single" w:color="A5A5A5" w:sz="24" w:space="0"/>
        <w:right w:val="single" w:color="A5A5A5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A5A5A5"/>
    </w:tcPr>
  </w:style>
  <w:style w:type="table" w:customStyle="1" w:styleId="139">
    <w:name w:val="List Table 5 Accent 4"/>
    <w:qFormat/>
    <w:uiPriority w:val="99"/>
    <w:pPr>
      <w:jc w:val="both"/>
    </w:pPr>
    <w:rPr>
      <w:color w:val="FFFFFF"/>
    </w:rPr>
    <w:tblPr>
      <w:tblBorders>
        <w:top w:val="single" w:color="FFC000" w:sz="24" w:space="0"/>
        <w:left w:val="single" w:color="FFC000" w:sz="24" w:space="0"/>
        <w:bottom w:val="single" w:color="FFC000" w:sz="24" w:space="0"/>
        <w:right w:val="single" w:color="FFC000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FFC000"/>
    </w:tcPr>
  </w:style>
  <w:style w:type="table" w:customStyle="1" w:styleId="140">
    <w:name w:val="List Table 5 Accent 5"/>
    <w:qFormat/>
    <w:uiPriority w:val="99"/>
    <w:pPr>
      <w:jc w:val="both"/>
    </w:pPr>
    <w:rPr>
      <w:color w:val="FFFFFF"/>
    </w:rPr>
    <w:tblPr>
      <w:tblBorders>
        <w:top w:val="single" w:color="4472C4" w:sz="24" w:space="0"/>
        <w:left w:val="single" w:color="4472C4" w:sz="24" w:space="0"/>
        <w:bottom w:val="single" w:color="4472C4" w:sz="24" w:space="0"/>
        <w:right w:val="single" w:color="4472C4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4472C4"/>
    </w:tcPr>
  </w:style>
  <w:style w:type="table" w:customStyle="1" w:styleId="141">
    <w:name w:val="List Table 5 Accent 6"/>
    <w:qFormat/>
    <w:uiPriority w:val="99"/>
    <w:pPr>
      <w:jc w:val="both"/>
    </w:pPr>
    <w:rPr>
      <w:color w:val="FFFFFF"/>
    </w:rPr>
    <w:tblPr>
      <w:tblBorders>
        <w:top w:val="single" w:color="70AD47" w:sz="24" w:space="0"/>
        <w:left w:val="single" w:color="70AD47" w:sz="24" w:space="0"/>
        <w:bottom w:val="single" w:color="70AD47" w:sz="24" w:space="0"/>
        <w:right w:val="single" w:color="70AD47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70AD47"/>
    </w:tcPr>
  </w:style>
  <w:style w:type="table" w:customStyle="1" w:styleId="142">
    <w:name w:val="List Table 6 Colorful"/>
    <w:qFormat/>
    <w:uiPriority w:val="99"/>
    <w:pPr>
      <w:jc w:val="both"/>
    </w:pPr>
    <w:rPr>
      <w:color w:val="000000"/>
    </w:rPr>
    <w:tblPr>
      <w:tblBorders>
        <w:top w:val="single" w:color="000000" w:sz="4" w:space="0"/>
        <w:bottom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List Table 6 Colorful Accent 1"/>
    <w:qFormat/>
    <w:uiPriority w:val="99"/>
    <w:pPr>
      <w:jc w:val="both"/>
    </w:pPr>
    <w:rPr>
      <w:color w:val="5B9BD5"/>
    </w:rPr>
    <w:tblPr>
      <w:tblBorders>
        <w:top w:val="single" w:color="5B9BD5" w:sz="4" w:space="0"/>
        <w:bottom w:val="single" w:color="5B9BD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List Table 6 Colorful Accent 2"/>
    <w:qFormat/>
    <w:uiPriority w:val="99"/>
    <w:pPr>
      <w:jc w:val="both"/>
    </w:pPr>
    <w:rPr>
      <w:color w:val="ED7D31"/>
    </w:rPr>
    <w:tblPr>
      <w:tblBorders>
        <w:top w:val="single" w:color="ED7D31" w:sz="4" w:space="0"/>
        <w:bottom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List Table 6 Colorful Accent 3"/>
    <w:qFormat/>
    <w:uiPriority w:val="99"/>
    <w:pPr>
      <w:jc w:val="both"/>
    </w:pPr>
    <w:rPr>
      <w:color w:val="A5A5A5"/>
    </w:rPr>
    <w:tblPr>
      <w:tblBorders>
        <w:top w:val="single" w:color="A5A5A5" w:sz="4" w:space="0"/>
        <w:bottom w:val="single" w:color="A5A5A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List Table 6 Colorful Accent 4"/>
    <w:qFormat/>
    <w:uiPriority w:val="99"/>
    <w:pPr>
      <w:jc w:val="both"/>
    </w:pPr>
    <w:rPr>
      <w:color w:val="FFC000"/>
    </w:rPr>
    <w:tblPr>
      <w:tblBorders>
        <w:top w:val="single" w:color="FFC000" w:sz="4" w:space="0"/>
        <w:bottom w:val="single" w:color="FFC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List Table 6 Colorful Accent 5"/>
    <w:qFormat/>
    <w:uiPriority w:val="99"/>
    <w:pPr>
      <w:jc w:val="both"/>
    </w:pPr>
    <w:rPr>
      <w:color w:val="4472C4"/>
    </w:rPr>
    <w:tblPr>
      <w:tblBorders>
        <w:top w:val="single" w:color="4472C4" w:sz="4" w:space="0"/>
        <w:bottom w:val="single" w:color="4472C4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List Table 6 Colorful Accent 6"/>
    <w:qFormat/>
    <w:uiPriority w:val="99"/>
    <w:pPr>
      <w:jc w:val="both"/>
    </w:pPr>
    <w:rPr>
      <w:color w:val="70AD47"/>
    </w:rPr>
    <w:tblPr>
      <w:tblBorders>
        <w:top w:val="single" w:color="70AD47" w:sz="4" w:space="0"/>
        <w:bottom w:val="single" w:color="70AD47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List Table 7 Colorful"/>
    <w:qFormat/>
    <w:uiPriority w:val="99"/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List Table 7 Colorful Accent 1"/>
    <w:qFormat/>
    <w:uiPriority w:val="99"/>
    <w:rPr>
      <w:color w:val="3583C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List Table 7 Colorful Accent 2"/>
    <w:qFormat/>
    <w:uiPriority w:val="99"/>
    <w:rPr>
      <w:color w:val="DE6513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List Table 7 Colorful Accent 3"/>
    <w:qFormat/>
    <w:uiPriority w:val="99"/>
    <w:rPr>
      <w:color w:val="8B8B8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List Table 7 Colorful Accent 4"/>
    <w:qFormat/>
    <w:uiPriority w:val="99"/>
    <w:rPr>
      <w:color w:val="D8A20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List Table 7 Colorful Accent 5"/>
    <w:qFormat/>
    <w:uiPriority w:val="99"/>
    <w:rPr>
      <w:color w:val="355FA9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List Table 7 Colorful Accent 6"/>
    <w:qFormat/>
    <w:uiPriority w:val="99"/>
    <w:rPr>
      <w:color w:val="5E923C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Calendar1"/>
    <w:uiPriority w:val="99"/>
    <w:rPr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Calendar2"/>
    <w:uiPriority w:val="99"/>
    <w:pPr>
      <w:jc w:val="center"/>
    </w:pPr>
    <w:rPr>
      <w:sz w:val="28"/>
      <w:szCs w:val="28"/>
    </w:rPr>
    <w:tblPr>
      <w:tblBorders>
        <w:insideV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Calendar3"/>
    <w:uiPriority w:val="99"/>
    <w:pPr>
      <w:jc w:val="right"/>
    </w:pPr>
    <w:rPr>
      <w:color w:val="000000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Calendar4"/>
    <w:uiPriority w:val="99"/>
    <w:rPr>
      <w:b/>
      <w:bCs/>
      <w:color w:val="FFFFFF"/>
      <w:sz w:val="16"/>
      <w:szCs w:val="16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1F4E7A"/>
    </w:tcPr>
  </w:style>
  <w:style w:type="table" w:customStyle="1" w:styleId="160">
    <w:name w:val="LightShading-Accent1"/>
    <w:uiPriority w:val="99"/>
    <w:rPr>
      <w:color w:val="3583CB"/>
      <w:sz w:val="22"/>
      <w:szCs w:val="22"/>
    </w:rPr>
    <w:tblPr>
      <w:tblBorders>
        <w:top w:val="single" w:color="5B9BD5" w:sz="8" w:space="0"/>
        <w:bottom w:val="single" w:color="5B9BD5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MediumShading2-Accent5"/>
    <w:uiPriority w:val="99"/>
    <w:rPr>
      <w:sz w:val="22"/>
      <w:szCs w:val="22"/>
    </w:rPr>
    <w:tblPr>
      <w:tblBorders>
        <w:top w:val="single" w:color="5B9BD5" w:sz="18" w:space="0"/>
        <w:bottom w:val="single" w:color="5B9BD5" w:sz="1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LightList"/>
    <w:uiPriority w:val="99"/>
    <w:rPr>
      <w:sz w:val="22"/>
      <w:szCs w:val="22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LightList-Accent3"/>
    <w:uiPriority w:val="99"/>
    <w:rPr>
      <w:sz w:val="22"/>
      <w:szCs w:val="22"/>
    </w:rPr>
    <w:tblPr>
      <w:tblBorders>
        <w:top w:val="single" w:color="A5A5A5" w:sz="8" w:space="0"/>
        <w:left w:val="single" w:color="A5A5A5" w:sz="8" w:space="0"/>
        <w:bottom w:val="single" w:color="A5A5A5" w:sz="8" w:space="0"/>
        <w:right w:val="single" w:color="A5A5A5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MediumList2-Accent1"/>
    <w:uiPriority w:val="99"/>
    <w:pPr>
      <w:jc w:val="both"/>
    </w:pPr>
    <w:rPr>
      <w:color w:val="000000"/>
      <w:sz w:val="22"/>
      <w:szCs w:val="22"/>
    </w:rPr>
    <w:tblPr>
      <w:tblBorders>
        <w:top w:val="single" w:color="5B9BD5" w:sz="8" w:space="0"/>
        <w:left w:val="single" w:color="5B9BD5" w:sz="8" w:space="0"/>
        <w:bottom w:val="single" w:color="5B9BD5" w:sz="8" w:space="0"/>
        <w:right w:val="single" w:color="5B9BD5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5">
    <w:name w:val="页眉 Char"/>
    <w:basedOn w:val="26"/>
    <w:link w:val="16"/>
    <w:semiHidden/>
    <w:uiPriority w:val="99"/>
    <w:rPr>
      <w:sz w:val="18"/>
      <w:szCs w:val="18"/>
    </w:rPr>
  </w:style>
  <w:style w:type="character" w:customStyle="1" w:styleId="166">
    <w:name w:val="页脚 Char"/>
    <w:basedOn w:val="26"/>
    <w:link w:val="15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EC985C-AC3B-4EEA-816E-5BFCAA36D5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332</Words>
  <Characters>1897</Characters>
  <Lines>15</Lines>
  <Paragraphs>4</Paragraphs>
  <TotalTime>0</TotalTime>
  <ScaleCrop>false</ScaleCrop>
  <LinksUpToDate>false</LinksUpToDate>
  <CharactersWithSpaces>2225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2019-08-16T00:36:00Z</dcterms:created>
  <dc:creator>Administrator</dc:creator>
  <cp:lastModifiedBy>Elijah</cp:lastModifiedBy>
  <cp:lastPrinted>2019-09-02T08:21:00Z</cp:lastPrinted>
  <dcterms:modified xsi:type="dcterms:W3CDTF">2020-09-24T06:48:14Z</dcterms:modified>
  <dc:title>赤峰学院教师系列专业技术资格评审量化考评细则赋分表（征求意见）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