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A0" w:rsidRDefault="001542AB">
      <w:pPr>
        <w:pStyle w:val="1"/>
        <w:widowControl/>
      </w:pPr>
      <w:r>
        <w:t>内蒙古自治区高等学校青年科技英才支持计划实施办法（</w:t>
      </w:r>
      <w:r>
        <w:t>2021</w:t>
      </w:r>
      <w:r>
        <w:t>年修订）</w:t>
      </w:r>
    </w:p>
    <w:p w:rsidR="000429A0" w:rsidRDefault="001542AB" w:rsidP="001542AB">
      <w:pPr>
        <w:jc w:val="center"/>
      </w:pPr>
      <w:r>
        <w:t>内蒙古自治区高等学校青年科技英才支持计划实施办法（</w:t>
      </w:r>
      <w:r>
        <w:t>2021</w:t>
      </w:r>
      <w:r>
        <w:t>年修订）</w:t>
      </w:r>
      <w:bookmarkStart w:id="0" w:name="_GoBack"/>
      <w:bookmarkEnd w:id="0"/>
    </w:p>
    <w:p w:rsidR="000429A0" w:rsidRDefault="001542AB">
      <w:pPr>
        <w:pStyle w:val="a3"/>
        <w:widowControl/>
        <w:spacing w:line="540" w:lineRule="atLeast"/>
        <w:jc w:val="center"/>
      </w:pPr>
      <w:r>
        <w:rPr>
          <w:rFonts w:ascii="华文仿宋" w:eastAsia="华文仿宋" w:hAnsi="华文仿宋" w:cs="华文仿宋"/>
          <w:color w:val="3C3C3C"/>
        </w:rPr>
        <w:t> </w:t>
      </w:r>
    </w:p>
    <w:p w:rsidR="000429A0" w:rsidRDefault="001542AB">
      <w:pPr>
        <w:pStyle w:val="a3"/>
        <w:widowControl/>
        <w:spacing w:line="555" w:lineRule="atLeast"/>
        <w:jc w:val="center"/>
      </w:pPr>
      <w:r>
        <w:rPr>
          <w:rFonts w:ascii="黑体" w:eastAsia="黑体" w:hAnsi="宋体" w:cs="黑体"/>
          <w:color w:val="000000"/>
          <w:sz w:val="31"/>
          <w:szCs w:val="31"/>
        </w:rPr>
        <w:t>第一章</w:t>
      </w:r>
      <w:r>
        <w:rPr>
          <w:rFonts w:ascii="黑体" w:eastAsia="黑体" w:hAnsi="宋体" w:cs="黑体"/>
          <w:color w:val="000000"/>
          <w:sz w:val="31"/>
          <w:szCs w:val="31"/>
        </w:rPr>
        <w:t xml:space="preserve"> </w:t>
      </w:r>
      <w:r>
        <w:rPr>
          <w:rFonts w:ascii="黑体" w:eastAsia="黑体" w:hAnsi="宋体" w:cs="黑体"/>
          <w:color w:val="000000"/>
          <w:sz w:val="31"/>
          <w:szCs w:val="31"/>
        </w:rPr>
        <w:t>总</w:t>
      </w:r>
      <w:r>
        <w:rPr>
          <w:rFonts w:ascii="黑体" w:eastAsia="黑体" w:hAnsi="宋体" w:cs="黑体"/>
          <w:color w:val="000000"/>
          <w:sz w:val="31"/>
          <w:szCs w:val="31"/>
        </w:rPr>
        <w:t xml:space="preserve"> </w:t>
      </w:r>
      <w:r>
        <w:rPr>
          <w:rFonts w:ascii="黑体" w:eastAsia="黑体" w:hAnsi="宋体" w:cs="黑体"/>
          <w:color w:val="000000"/>
          <w:sz w:val="31"/>
          <w:szCs w:val="31"/>
        </w:rPr>
        <w:t>则</w:t>
      </w:r>
    </w:p>
    <w:p w:rsidR="000429A0" w:rsidRDefault="001542AB">
      <w:pPr>
        <w:pStyle w:val="a3"/>
        <w:widowControl/>
        <w:spacing w:line="555" w:lineRule="atLeast"/>
        <w:ind w:firstLine="645"/>
      </w:pPr>
      <w:r>
        <w:rPr>
          <w:rStyle w:val="a4"/>
          <w:rFonts w:ascii="仿宋_GB2312" w:eastAsia="仿宋_GB2312" w:cs="仿宋_GB2312"/>
          <w:color w:val="444444"/>
          <w:sz w:val="31"/>
          <w:szCs w:val="31"/>
        </w:rPr>
        <w:t>第一条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为深入实施科教兴国和人才强区战略，培养造就一大批青年拔尖创新人才，持续提升高等学校自主创新能力和人才培养质量，特设立“内蒙古自治区高等学校青年科技英才支持计划”（以下简称“青年科技英才支持计划”）。</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第二条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青年科技英才支持计划”旨在引导和支持我区高等学校优秀青年科技人才围绕国家和自治区重大科技问题、哲学社会科学问题、学术前沿问题进行创新研究。同时，要正确认识和规范使用高校人才称号，加强对人才师德师风、科教融合等内涵式建设。</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第三条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“青年科技英才支持计划”</w:t>
      </w:r>
      <w:r>
        <w:rPr>
          <w:rFonts w:cs="å¾®è½¯é›…é»‘"/>
          <w:color w:val="444444"/>
          <w:spacing w:val="15"/>
          <w:sz w:val="31"/>
          <w:szCs w:val="31"/>
        </w:rPr>
        <w:t>评审工作坚持公开透明、择优支持、公正合理的原则</w:t>
      </w:r>
      <w:r>
        <w:rPr>
          <w:rFonts w:ascii="仿宋_GB2312" w:eastAsia="仿宋_GB2312" w:cs="仿宋_GB2312" w:hint="eastAsia"/>
          <w:color w:val="444444"/>
          <w:sz w:val="31"/>
          <w:szCs w:val="31"/>
        </w:rPr>
        <w:t>。</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第四条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自治区教育厅科学技术与信息化处负责“青年科技英才支持计划”实施的日常工作。</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lastRenderedPageBreak/>
        <w:t>第五条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“青年科技英才支持计划”资助范围为自治区普通高等学校。</w:t>
      </w:r>
    </w:p>
    <w:p w:rsidR="000429A0" w:rsidRDefault="001542AB">
      <w:pPr>
        <w:pStyle w:val="a3"/>
        <w:widowControl/>
        <w:spacing w:line="555" w:lineRule="atLeast"/>
        <w:jc w:val="center"/>
      </w:pPr>
      <w:r>
        <w:rPr>
          <w:rFonts w:ascii="黑体" w:eastAsia="黑体" w:hAnsi="宋体" w:cs="黑体" w:hint="eastAsia"/>
          <w:color w:val="444444"/>
          <w:sz w:val="31"/>
          <w:szCs w:val="31"/>
        </w:rPr>
        <w:t>第二章</w:t>
      </w:r>
      <w:r>
        <w:rPr>
          <w:rFonts w:ascii="黑体" w:eastAsia="黑体" w:hAnsi="宋体" w:cs="黑体" w:hint="eastAsia"/>
          <w:color w:val="444444"/>
          <w:sz w:val="31"/>
          <w:szCs w:val="31"/>
        </w:rPr>
        <w:t xml:space="preserve"> </w:t>
      </w:r>
      <w:r>
        <w:rPr>
          <w:rFonts w:ascii="黑体" w:eastAsia="黑体" w:hAnsi="宋体" w:cs="黑体" w:hint="eastAsia"/>
          <w:color w:val="444444"/>
          <w:sz w:val="31"/>
          <w:szCs w:val="31"/>
        </w:rPr>
        <w:t>申报条件</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第七条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“青年科技英才支持计划”资助对象应具备以下基本条件：</w:t>
      </w:r>
    </w:p>
    <w:p w:rsidR="000429A0" w:rsidRDefault="001542AB">
      <w:pPr>
        <w:pStyle w:val="a3"/>
        <w:widowControl/>
        <w:spacing w:line="555" w:lineRule="atLeast"/>
        <w:ind w:firstLine="645"/>
      </w:pPr>
      <w:r>
        <w:rPr>
          <w:rFonts w:ascii="仿宋_GB2312" w:eastAsia="仿宋_GB2312" w:cs="仿宋_GB2312" w:hint="eastAsia"/>
          <w:color w:val="444444"/>
          <w:sz w:val="31"/>
          <w:szCs w:val="31"/>
        </w:rPr>
        <w:t>（一）政治思想素质好，具有创新意识和团队精神，治学严谨，师德师风优良，无学术不端行为。</w:t>
      </w:r>
    </w:p>
    <w:p w:rsidR="000429A0" w:rsidRDefault="001542AB">
      <w:pPr>
        <w:pStyle w:val="a3"/>
        <w:widowControl/>
        <w:spacing w:line="555" w:lineRule="atLeast"/>
        <w:ind w:firstLine="645"/>
      </w:pPr>
      <w:r>
        <w:rPr>
          <w:rFonts w:ascii="仿宋_GB2312" w:eastAsia="仿宋_GB2312" w:cs="仿宋_GB2312" w:hint="eastAsia"/>
          <w:color w:val="444444"/>
          <w:sz w:val="31"/>
          <w:szCs w:val="31"/>
        </w:rPr>
        <w:t>（二）学科视野开阔，对本学科发展有独到见解，在本领域内某方向有深入研究。</w:t>
      </w:r>
    </w:p>
    <w:p w:rsidR="000429A0" w:rsidRDefault="001542AB">
      <w:pPr>
        <w:pStyle w:val="a3"/>
        <w:widowControl/>
        <w:spacing w:line="555" w:lineRule="atLeast"/>
        <w:ind w:firstLine="645"/>
      </w:pPr>
      <w:r>
        <w:rPr>
          <w:rFonts w:ascii="仿宋_GB2312" w:eastAsia="仿宋_GB2312" w:cs="仿宋_GB2312" w:hint="eastAsia"/>
          <w:color w:val="444444"/>
          <w:sz w:val="31"/>
          <w:szCs w:val="31"/>
        </w:rPr>
        <w:t>（三）在教学、科研第一线工作。</w:t>
      </w:r>
    </w:p>
    <w:p w:rsidR="000429A0" w:rsidRDefault="001542AB">
      <w:pPr>
        <w:pStyle w:val="a3"/>
        <w:widowControl/>
        <w:spacing w:line="555" w:lineRule="atLeast"/>
        <w:ind w:firstLine="645"/>
      </w:pPr>
      <w:r>
        <w:rPr>
          <w:rFonts w:ascii="仿宋_GB2312" w:eastAsia="仿宋_GB2312" w:cs="仿宋_GB2312" w:hint="eastAsia"/>
          <w:color w:val="444444"/>
          <w:sz w:val="31"/>
          <w:szCs w:val="31"/>
        </w:rPr>
        <w:t>（四）具有博士学位或副高级及以上专业技术职务，年龄不超过</w:t>
      </w:r>
      <w:r>
        <w:rPr>
          <w:rFonts w:ascii="仿宋_GB2312" w:eastAsia="仿宋_GB2312" w:cs="仿宋_GB2312" w:hint="eastAsia"/>
          <w:color w:val="444444"/>
          <w:sz w:val="31"/>
          <w:szCs w:val="31"/>
        </w:rPr>
        <w:t>45</w:t>
      </w:r>
      <w:r>
        <w:rPr>
          <w:rFonts w:ascii="仿宋_GB2312" w:eastAsia="仿宋_GB2312" w:cs="仿宋_GB2312" w:hint="eastAsia"/>
          <w:color w:val="444444"/>
          <w:sz w:val="31"/>
          <w:szCs w:val="31"/>
        </w:rPr>
        <w:t>周岁（至项目申报当年</w:t>
      </w:r>
      <w:r>
        <w:rPr>
          <w:rFonts w:ascii="仿宋_GB2312" w:eastAsia="仿宋_GB2312" w:cs="仿宋_GB2312" w:hint="eastAsia"/>
          <w:color w:val="444444"/>
          <w:sz w:val="31"/>
          <w:szCs w:val="31"/>
        </w:rPr>
        <w:t>1</w:t>
      </w:r>
      <w:r>
        <w:rPr>
          <w:rFonts w:ascii="仿宋_GB2312" w:eastAsia="仿宋_GB2312" w:cs="仿宋_GB2312" w:hint="eastAsia"/>
          <w:color w:val="444444"/>
          <w:sz w:val="31"/>
          <w:szCs w:val="31"/>
        </w:rPr>
        <w:t>月</w:t>
      </w:r>
      <w:r>
        <w:rPr>
          <w:rFonts w:ascii="仿宋_GB2312" w:eastAsia="仿宋_GB2312" w:cs="仿宋_GB2312" w:hint="eastAsia"/>
          <w:color w:val="444444"/>
          <w:sz w:val="31"/>
          <w:szCs w:val="31"/>
        </w:rPr>
        <w:t>1</w:t>
      </w:r>
      <w:r>
        <w:rPr>
          <w:rFonts w:ascii="仿宋_GB2312" w:eastAsia="仿宋_GB2312" w:cs="仿宋_GB2312" w:hint="eastAsia"/>
          <w:color w:val="444444"/>
          <w:sz w:val="31"/>
          <w:szCs w:val="31"/>
        </w:rPr>
        <w:t>日）。</w:t>
      </w:r>
    </w:p>
    <w:p w:rsidR="000429A0" w:rsidRDefault="001542AB">
      <w:pPr>
        <w:pStyle w:val="a3"/>
        <w:widowControl/>
        <w:spacing w:line="555" w:lineRule="atLeast"/>
        <w:ind w:firstLine="645"/>
      </w:pPr>
      <w:r>
        <w:rPr>
          <w:rFonts w:ascii="仿宋_GB2312" w:eastAsia="仿宋_GB2312" w:cs="仿宋_GB2312" w:hint="eastAsia"/>
          <w:color w:val="444444"/>
          <w:sz w:val="31"/>
          <w:szCs w:val="31"/>
        </w:rPr>
        <w:t>（五）在科学研究中取得重要科学发现或者对推动相关学科发展做出突出贡献。</w:t>
      </w:r>
    </w:p>
    <w:p w:rsidR="000429A0" w:rsidRDefault="001542AB">
      <w:pPr>
        <w:pStyle w:val="a3"/>
        <w:widowControl/>
        <w:spacing w:line="555" w:lineRule="atLeast"/>
        <w:ind w:firstLine="645"/>
      </w:pPr>
      <w:r>
        <w:rPr>
          <w:rFonts w:ascii="仿宋_GB2312" w:eastAsia="仿宋_GB2312" w:cs="仿宋_GB2312" w:hint="eastAsia"/>
          <w:color w:val="444444"/>
          <w:sz w:val="31"/>
          <w:szCs w:val="31"/>
        </w:rPr>
        <w:t>（六）在技术研发与产业创新中取得重大发明创造或关键技术突破，并创造了显著经济和社会效益。</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第八条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已获得“长江学者特聘教授”、“国家杰出青年科学基金资助者”、教育部“新世纪优秀人才支持计划”、自</w:t>
      </w:r>
      <w:r>
        <w:rPr>
          <w:rFonts w:ascii="仿宋_GB2312" w:eastAsia="仿宋_GB2312" w:cs="仿宋_GB2312" w:hint="eastAsia"/>
          <w:color w:val="444444"/>
          <w:sz w:val="31"/>
          <w:szCs w:val="31"/>
        </w:rPr>
        <w:lastRenderedPageBreak/>
        <w:t>治区“草原英才”工程等省部级以上各类人才计划资助者，不再申报本计划。</w:t>
      </w:r>
    </w:p>
    <w:p w:rsidR="000429A0" w:rsidRDefault="001542AB">
      <w:pPr>
        <w:pStyle w:val="a3"/>
        <w:widowControl/>
        <w:spacing w:line="555" w:lineRule="atLeast"/>
        <w:ind w:firstLine="645"/>
        <w:jc w:val="center"/>
      </w:pPr>
      <w:r>
        <w:rPr>
          <w:rFonts w:ascii="黑体" w:eastAsia="黑体" w:hAnsi="宋体" w:cs="黑体" w:hint="eastAsia"/>
          <w:color w:val="444444"/>
          <w:sz w:val="31"/>
          <w:szCs w:val="31"/>
        </w:rPr>
        <w:t>第三章</w:t>
      </w:r>
      <w:r>
        <w:rPr>
          <w:rFonts w:ascii="黑体" w:eastAsia="黑体" w:hAnsi="宋体" w:cs="黑体" w:hint="eastAsia"/>
          <w:color w:val="444444"/>
          <w:sz w:val="31"/>
          <w:szCs w:val="31"/>
        </w:rPr>
        <w:t xml:space="preserve"> </w:t>
      </w:r>
      <w:r>
        <w:rPr>
          <w:rFonts w:ascii="黑体" w:eastAsia="黑体" w:hAnsi="宋体" w:cs="黑体" w:hint="eastAsia"/>
          <w:color w:val="444444"/>
          <w:sz w:val="31"/>
          <w:szCs w:val="31"/>
        </w:rPr>
        <w:t>遴选程序</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第九条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自治区教育厅于每年第二季度发布申报通知，以学校为单位组织申报。</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第十条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申请者需填写《内蒙古自治区高等学校青年科技英才支持计划项目申请书》，并附相关材料。</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第十一条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所在学校负责对申报材料进行审核、遴选并在规定期限报送自治区教育厅。</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第十二条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自治区教育厅组织专家评审，并提出建议支持方案。</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第十三条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自治区教育厅对建</w:t>
      </w:r>
      <w:r>
        <w:rPr>
          <w:rFonts w:ascii="仿宋_GB2312" w:eastAsia="仿宋_GB2312" w:cs="仿宋_GB2312" w:hint="eastAsia"/>
          <w:color w:val="444444"/>
          <w:sz w:val="31"/>
          <w:szCs w:val="31"/>
        </w:rPr>
        <w:t>议支持方案进行审核并公示，公示期内如无异议，正式批准执行。</w:t>
      </w:r>
    </w:p>
    <w:p w:rsidR="000429A0" w:rsidRDefault="001542AB">
      <w:pPr>
        <w:pStyle w:val="a3"/>
        <w:widowControl/>
        <w:spacing w:line="555" w:lineRule="atLeast"/>
        <w:ind w:firstLine="645"/>
        <w:jc w:val="center"/>
      </w:pPr>
      <w:r>
        <w:rPr>
          <w:rFonts w:ascii="黑体" w:eastAsia="黑体" w:hAnsi="宋体" w:cs="黑体" w:hint="eastAsia"/>
          <w:color w:val="444444"/>
          <w:sz w:val="31"/>
          <w:szCs w:val="31"/>
        </w:rPr>
        <w:t>第四章</w:t>
      </w:r>
      <w:r>
        <w:rPr>
          <w:rFonts w:ascii="黑体" w:eastAsia="黑体" w:hAnsi="宋体" w:cs="黑体" w:hint="eastAsia"/>
          <w:color w:val="444444"/>
          <w:sz w:val="31"/>
          <w:szCs w:val="31"/>
        </w:rPr>
        <w:t xml:space="preserve"> </w:t>
      </w:r>
      <w:r>
        <w:rPr>
          <w:rFonts w:ascii="黑体" w:eastAsia="黑体" w:hAnsi="宋体" w:cs="黑体" w:hint="eastAsia"/>
          <w:color w:val="444444"/>
          <w:sz w:val="31"/>
          <w:szCs w:val="31"/>
        </w:rPr>
        <w:t>支持措施</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第十四条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“青年科技英才支持计划”资助期限为三年。资助额度为：自然科学类</w:t>
      </w:r>
      <w:r>
        <w:rPr>
          <w:rFonts w:ascii="仿宋_GB2312" w:eastAsia="仿宋_GB2312" w:cs="仿宋_GB2312" w:hint="eastAsia"/>
          <w:color w:val="444444"/>
          <w:sz w:val="31"/>
          <w:szCs w:val="31"/>
        </w:rPr>
        <w:t>30</w:t>
      </w:r>
      <w:r>
        <w:rPr>
          <w:rFonts w:ascii="仿宋_GB2312" w:eastAsia="仿宋_GB2312" w:cs="仿宋_GB2312" w:hint="eastAsia"/>
          <w:color w:val="444444"/>
          <w:sz w:val="31"/>
          <w:szCs w:val="31"/>
        </w:rPr>
        <w:t>万元，人文社会科学类</w:t>
      </w:r>
      <w:r>
        <w:rPr>
          <w:rFonts w:ascii="仿宋_GB2312" w:eastAsia="仿宋_GB2312" w:cs="仿宋_GB2312" w:hint="eastAsia"/>
          <w:color w:val="444444"/>
          <w:sz w:val="31"/>
          <w:szCs w:val="31"/>
        </w:rPr>
        <w:t>24</w:t>
      </w:r>
      <w:r>
        <w:rPr>
          <w:rFonts w:ascii="仿宋_GB2312" w:eastAsia="仿宋_GB2312" w:cs="仿宋_GB2312" w:hint="eastAsia"/>
          <w:color w:val="444444"/>
          <w:sz w:val="31"/>
          <w:szCs w:val="31"/>
        </w:rPr>
        <w:t>万元。</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第十五条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资助经费由自治区教育厅和所在学校按</w:t>
      </w:r>
      <w:r>
        <w:rPr>
          <w:rFonts w:ascii="仿宋_GB2312" w:eastAsia="仿宋_GB2312" w:cs="仿宋_GB2312" w:hint="eastAsia"/>
          <w:color w:val="444444"/>
          <w:sz w:val="31"/>
          <w:szCs w:val="31"/>
        </w:rPr>
        <w:t>1</w:t>
      </w:r>
      <w:r>
        <w:rPr>
          <w:rFonts w:ascii="仿宋_GB2312" w:eastAsia="仿宋_GB2312" w:cs="仿宋_GB2312" w:hint="eastAsia"/>
          <w:color w:val="444444"/>
          <w:sz w:val="31"/>
          <w:szCs w:val="31"/>
        </w:rPr>
        <w:t>：</w:t>
      </w:r>
      <w:r>
        <w:rPr>
          <w:rFonts w:ascii="仿宋_GB2312" w:eastAsia="仿宋_GB2312" w:cs="仿宋_GB2312" w:hint="eastAsia"/>
          <w:color w:val="444444"/>
          <w:sz w:val="31"/>
          <w:szCs w:val="31"/>
        </w:rPr>
        <w:t>1</w:t>
      </w:r>
      <w:r>
        <w:rPr>
          <w:rFonts w:ascii="仿宋_GB2312" w:eastAsia="仿宋_GB2312" w:cs="仿宋_GB2312" w:hint="eastAsia"/>
          <w:color w:val="444444"/>
          <w:sz w:val="31"/>
          <w:szCs w:val="31"/>
        </w:rPr>
        <w:t>的比例共同承担。所在学校应严格执行《内蒙古自治区高等教育</w:t>
      </w:r>
      <w:r>
        <w:rPr>
          <w:rFonts w:ascii="仿宋_GB2312" w:eastAsia="仿宋_GB2312" w:cs="仿宋_GB2312" w:hint="eastAsia"/>
          <w:color w:val="444444"/>
          <w:sz w:val="31"/>
          <w:szCs w:val="31"/>
        </w:rPr>
        <w:lastRenderedPageBreak/>
        <w:t>专项资金管理办法》等有关财务管理规定，对资助经费单独建账，据实列支，专款专用。</w:t>
      </w:r>
    </w:p>
    <w:p w:rsidR="000429A0" w:rsidRDefault="001542AB">
      <w:pPr>
        <w:pStyle w:val="a3"/>
        <w:widowControl/>
        <w:spacing w:line="555" w:lineRule="atLeast"/>
        <w:jc w:val="center"/>
      </w:pPr>
      <w:r>
        <w:rPr>
          <w:rFonts w:ascii="黑体" w:eastAsia="黑体" w:hAnsi="宋体" w:cs="黑体" w:hint="eastAsia"/>
          <w:color w:val="444444"/>
          <w:sz w:val="31"/>
          <w:szCs w:val="31"/>
        </w:rPr>
        <w:t>第五章</w:t>
      </w:r>
      <w:r>
        <w:rPr>
          <w:rFonts w:ascii="黑体" w:eastAsia="黑体" w:hAnsi="宋体" w:cs="黑体" w:hint="eastAsia"/>
          <w:color w:val="444444"/>
          <w:sz w:val="31"/>
          <w:szCs w:val="31"/>
        </w:rPr>
        <w:t xml:space="preserve"> </w:t>
      </w:r>
      <w:r>
        <w:rPr>
          <w:rFonts w:ascii="黑体" w:eastAsia="黑体" w:hAnsi="宋体" w:cs="黑体" w:hint="eastAsia"/>
          <w:color w:val="444444"/>
          <w:sz w:val="31"/>
          <w:szCs w:val="31"/>
        </w:rPr>
        <w:t>考核管理</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第十六条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获资助者在资助期中期，编写《内蒙古自治区高等学校青年科技英才支持计划年度进展报告》，并附相关材料，报依托高校科研</w:t>
      </w:r>
      <w:r>
        <w:rPr>
          <w:rFonts w:ascii="仿宋_GB2312" w:eastAsia="仿宋_GB2312" w:cs="仿宋_GB2312" w:hint="eastAsia"/>
          <w:color w:val="444444"/>
          <w:sz w:val="31"/>
          <w:szCs w:val="31"/>
        </w:rPr>
        <w:t>管理部门审核备案，自治区教育厅不定期抽查。</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第十七条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资助期满后，获资助者应填写《内蒙古自治区高等学校青年科技英才支持计划总结报告》，并附相关材料，经所在学校审核后报送自治区教育厅，由自治区教育厅组织结题验收工作。</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第十八条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凡使用“青年科技英才支持计划”资助经费取得的科研成果，必须标注“内蒙古自治区高等学校青年科技英才支持计划资助”（英文为：</w:t>
      </w:r>
      <w:r>
        <w:rPr>
          <w:rFonts w:ascii="仿宋_GB2312" w:eastAsia="仿宋_GB2312" w:cs="仿宋_GB2312" w:hint="eastAsia"/>
          <w:color w:val="444444"/>
          <w:sz w:val="31"/>
          <w:szCs w:val="31"/>
        </w:rPr>
        <w:t>Supported By Program for Young Talents of Science and Technology in Universities of</w:t>
      </w:r>
      <w:r>
        <w:rPr>
          <w:rFonts w:ascii="仿宋_GB2312" w:eastAsia="仿宋_GB2312" w:cs="仿宋_GB2312" w:hint="eastAsia"/>
          <w:color w:val="444444"/>
          <w:sz w:val="31"/>
          <w:szCs w:val="31"/>
        </w:rPr>
        <w:t xml:space="preserve"> Inner Mongolia Autonomous Region </w:t>
      </w:r>
      <w:r>
        <w:rPr>
          <w:rFonts w:ascii="仿宋_GB2312" w:eastAsia="仿宋_GB2312" w:cs="仿宋_GB2312" w:hint="eastAsia"/>
          <w:color w:val="444444"/>
          <w:sz w:val="31"/>
          <w:szCs w:val="31"/>
        </w:rPr>
        <w:t>）</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第十九条</w:t>
      </w:r>
      <w:r>
        <w:rPr>
          <w:rFonts w:ascii="仿宋_GB2312" w:eastAsia="仿宋_GB2312" w:cs="仿宋_GB2312" w:hint="eastAsia"/>
          <w:color w:val="444444"/>
          <w:sz w:val="31"/>
          <w:szCs w:val="31"/>
        </w:rPr>
        <w:t xml:space="preserve"> </w:t>
      </w:r>
      <w:r>
        <w:rPr>
          <w:rFonts w:cs="å¾®è½¯é›…é»‘"/>
          <w:color w:val="444444"/>
          <w:spacing w:val="15"/>
          <w:sz w:val="31"/>
          <w:szCs w:val="31"/>
        </w:rPr>
        <w:t>如出现获资助者未能正常履行工作职责、调离学校教学科研岗位、违反学术道德、触犯法律等情况，所在高等学校应及时向自治区教育厅提交书面报告，经自治区教育厅审核后，做出处理决定。</w:t>
      </w:r>
    </w:p>
    <w:p w:rsidR="000429A0" w:rsidRDefault="001542AB">
      <w:pPr>
        <w:pStyle w:val="a3"/>
        <w:widowControl/>
        <w:spacing w:line="555" w:lineRule="atLeast"/>
        <w:jc w:val="center"/>
      </w:pPr>
      <w:r>
        <w:rPr>
          <w:rFonts w:ascii="黑体" w:eastAsia="黑体" w:hAnsi="宋体" w:cs="黑体" w:hint="eastAsia"/>
          <w:color w:val="444444"/>
          <w:sz w:val="31"/>
          <w:szCs w:val="31"/>
        </w:rPr>
        <w:lastRenderedPageBreak/>
        <w:t>第六章</w:t>
      </w:r>
      <w:r>
        <w:rPr>
          <w:rFonts w:ascii="黑体" w:eastAsia="黑体" w:hAnsi="宋体" w:cs="黑体" w:hint="eastAsia"/>
          <w:color w:val="444444"/>
          <w:sz w:val="31"/>
          <w:szCs w:val="31"/>
        </w:rPr>
        <w:t xml:space="preserve"> </w:t>
      </w:r>
      <w:r>
        <w:rPr>
          <w:rFonts w:ascii="黑体" w:eastAsia="黑体" w:hAnsi="宋体" w:cs="黑体" w:hint="eastAsia"/>
          <w:color w:val="444444"/>
          <w:sz w:val="31"/>
          <w:szCs w:val="31"/>
        </w:rPr>
        <w:t>附则</w:t>
      </w:r>
    </w:p>
    <w:p w:rsidR="000429A0" w:rsidRDefault="001542AB">
      <w:pPr>
        <w:pStyle w:val="a3"/>
        <w:widowControl/>
        <w:shd w:val="clear" w:color="auto" w:fill="FFFFFF"/>
        <w:spacing w:line="375" w:lineRule="atLeast"/>
        <w:ind w:firstLine="645"/>
      </w:pPr>
      <w:r>
        <w:rPr>
          <w:rStyle w:val="a4"/>
          <w:rFonts w:ascii="仿宋_GB2312" w:eastAsia="仿宋_GB2312" w:cs="仿宋_GB2312" w:hint="eastAsia"/>
          <w:color w:val="444444"/>
          <w:sz w:val="31"/>
          <w:szCs w:val="31"/>
          <w:shd w:val="clear" w:color="auto" w:fill="FFFFFF"/>
        </w:rPr>
        <w:t>第二十条</w:t>
      </w:r>
      <w:r>
        <w:rPr>
          <w:rFonts w:ascii="仿宋_GB2312" w:eastAsia="仿宋_GB2312" w:cs="仿宋_GB2312" w:hint="eastAsia"/>
          <w:color w:val="444444"/>
          <w:sz w:val="31"/>
          <w:szCs w:val="31"/>
          <w:shd w:val="clear" w:color="auto" w:fill="FFFFFF"/>
        </w:rPr>
        <w:t xml:space="preserve"> </w:t>
      </w:r>
      <w:r>
        <w:rPr>
          <w:rFonts w:ascii="仿宋_GB2312" w:eastAsia="仿宋_GB2312" w:cs="仿宋_GB2312" w:hint="eastAsia"/>
          <w:color w:val="444444"/>
          <w:sz w:val="31"/>
          <w:szCs w:val="31"/>
          <w:shd w:val="clear" w:color="auto" w:fill="FFFFFF"/>
        </w:rPr>
        <w:t>本办法自公布之日起施行，</w:t>
      </w:r>
      <w:r>
        <w:rPr>
          <w:rFonts w:ascii="仿宋" w:eastAsia="仿宋" w:hAnsi="仿宋" w:cs="仿宋"/>
          <w:color w:val="444444"/>
          <w:sz w:val="31"/>
          <w:szCs w:val="31"/>
          <w:shd w:val="clear" w:color="auto" w:fill="FFFFFF"/>
        </w:rPr>
        <w:t>原</w:t>
      </w:r>
      <w:r>
        <w:rPr>
          <w:rFonts w:ascii="仿宋" w:eastAsia="仿宋" w:hAnsi="仿宋" w:cs="仿宋" w:hint="eastAsia"/>
          <w:color w:val="444444"/>
          <w:sz w:val="31"/>
          <w:szCs w:val="31"/>
          <w:shd w:val="clear" w:color="auto" w:fill="FFFFFF"/>
        </w:rPr>
        <w:t>《内蒙古自治区高等学校青年科技英才支持计划实施办法（暂行）》（内教发〔</w:t>
      </w:r>
      <w:r>
        <w:rPr>
          <w:rFonts w:ascii="仿宋" w:eastAsia="仿宋" w:hAnsi="仿宋" w:cs="仿宋" w:hint="eastAsia"/>
          <w:color w:val="444444"/>
          <w:sz w:val="31"/>
          <w:szCs w:val="31"/>
          <w:shd w:val="clear" w:color="auto" w:fill="FFFFFF"/>
        </w:rPr>
        <w:t>2011</w:t>
      </w:r>
      <w:r>
        <w:rPr>
          <w:rFonts w:ascii="仿宋" w:eastAsia="仿宋" w:hAnsi="仿宋" w:cs="仿宋" w:hint="eastAsia"/>
          <w:color w:val="444444"/>
          <w:sz w:val="31"/>
          <w:szCs w:val="31"/>
          <w:shd w:val="clear" w:color="auto" w:fill="FFFFFF"/>
        </w:rPr>
        <w:t>〕</w:t>
      </w:r>
      <w:r>
        <w:rPr>
          <w:rFonts w:ascii="仿宋" w:eastAsia="仿宋" w:hAnsi="仿宋" w:cs="仿宋" w:hint="eastAsia"/>
          <w:color w:val="444444"/>
          <w:sz w:val="31"/>
          <w:szCs w:val="31"/>
          <w:shd w:val="clear" w:color="auto" w:fill="FFFFFF"/>
        </w:rPr>
        <w:t>41</w:t>
      </w:r>
      <w:r>
        <w:rPr>
          <w:rFonts w:ascii="仿宋" w:eastAsia="仿宋" w:hAnsi="仿宋" w:cs="仿宋" w:hint="eastAsia"/>
          <w:color w:val="444444"/>
          <w:sz w:val="31"/>
          <w:szCs w:val="31"/>
          <w:shd w:val="clear" w:color="auto" w:fill="FFFFFF"/>
        </w:rPr>
        <w:t>号）同时废止。</w:t>
      </w:r>
    </w:p>
    <w:p w:rsidR="000429A0" w:rsidRDefault="001542AB">
      <w:pPr>
        <w:pStyle w:val="a3"/>
        <w:widowControl/>
        <w:spacing w:line="555" w:lineRule="atLeast"/>
        <w:ind w:firstLine="645"/>
      </w:pPr>
      <w:r>
        <w:rPr>
          <w:rStyle w:val="a4"/>
          <w:rFonts w:ascii="仿宋_GB2312" w:eastAsia="仿宋_GB2312" w:cs="仿宋_GB2312" w:hint="eastAsia"/>
          <w:color w:val="444444"/>
          <w:sz w:val="31"/>
          <w:szCs w:val="31"/>
        </w:rPr>
        <w:t>第二十一条</w:t>
      </w:r>
      <w:r>
        <w:rPr>
          <w:rFonts w:ascii="仿宋_GB2312" w:eastAsia="仿宋_GB2312" w:cs="仿宋_GB2312" w:hint="eastAsia"/>
          <w:color w:val="444444"/>
          <w:sz w:val="31"/>
          <w:szCs w:val="31"/>
        </w:rPr>
        <w:t xml:space="preserve"> </w:t>
      </w:r>
      <w:r>
        <w:rPr>
          <w:rFonts w:ascii="仿宋_GB2312" w:eastAsia="仿宋_GB2312" w:cs="仿宋_GB2312" w:hint="eastAsia"/>
          <w:color w:val="444444"/>
          <w:sz w:val="31"/>
          <w:szCs w:val="31"/>
        </w:rPr>
        <w:t>本办法由自治区教育厅负责解释。</w:t>
      </w:r>
    </w:p>
    <w:p w:rsidR="000429A0" w:rsidRDefault="000429A0"/>
    <w:sectPr w:rsidR="000429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å¾®è½¯é›…é»‘">
    <w:altName w:val="Times New Roman"/>
    <w:charset w:val="00"/>
    <w:family w:val="auto"/>
    <w:pitch w:val="default"/>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9A0"/>
    <w:rsid w:val="000429A0"/>
    <w:rsid w:val="001542AB"/>
    <w:rsid w:val="1C8F1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E8B91F-86A4-4B97-841F-4D07386E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å¾®è½¯é›…é»‘" w:eastAsia="å¾®è½¯é›…é»‘" w:hAnsi="å¾®è½¯é›…é»‘" w:cs="Times New Roman"/>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ascii="å¾®è½¯é›…é»‘" w:eastAsia="å¾®è½¯é›…é»‘" w:hAnsi="å¾®è½¯é›…é»‘" w:cs="Times New Roman"/>
      <w:kern w:val="0"/>
      <w:sz w:val="24"/>
    </w:rPr>
  </w:style>
  <w:style w:type="character" w:styleId="a4">
    <w:name w:val="Strong"/>
    <w:basedOn w:val="a0"/>
    <w:qFormat/>
    <w:rPr>
      <w:b/>
    </w:rPr>
  </w:style>
  <w:style w:type="character" w:styleId="a5">
    <w:name w:val="FollowedHyperlink"/>
    <w:basedOn w:val="a0"/>
    <w:rPr>
      <w:rFonts w:ascii="å¾®è½¯é›…é»‘" w:eastAsia="å¾®è½¯é›…é»‘" w:hAnsi="å¾®è½¯é›…é»‘" w:cs="å¾®è½¯é›…é»‘" w:hint="default"/>
      <w:color w:val="800080"/>
      <w:u w:val="single"/>
    </w:rPr>
  </w:style>
  <w:style w:type="character" w:styleId="a6">
    <w:name w:val="Emphasis"/>
    <w:basedOn w:val="a0"/>
    <w:qFormat/>
    <w:rPr>
      <w:rFonts w:ascii="å¾®è½¯é›…é»‘" w:eastAsia="å¾®è½¯é›…é»‘" w:hAnsi="å¾®è½¯é›…é»‘" w:cs="å¾®è½¯é›…é»‘" w:hint="default"/>
    </w:rPr>
  </w:style>
  <w:style w:type="character" w:styleId="a7">
    <w:name w:val="Hyperlink"/>
    <w:basedOn w:val="a0"/>
    <w:rPr>
      <w:rFonts w:ascii="å¾®è½¯é›…é»‘" w:eastAsia="å¾®è½¯é›…é»‘" w:hAnsi="å¾®è½¯é›…é»‘" w:cs="å¾®è½¯é›…é»‘" w:hint="default"/>
      <w:color w:val="0000FF"/>
      <w:u w:val="single"/>
    </w:rPr>
  </w:style>
  <w:style w:type="character" w:customStyle="1" w:styleId="nth-child1">
    <w:name w:val="nth-child(1)"/>
    <w:basedOn w:val="a0"/>
    <w:rPr>
      <w:color w:val="5680E6"/>
    </w:rPr>
  </w:style>
  <w:style w:type="character" w:customStyle="1" w:styleId="layui-layer-tabnow">
    <w:name w:val="layui-layer-tabnow"/>
    <w:basedOn w:val="a0"/>
    <w:rPr>
      <w:bdr w:val="single" w:sz="6" w:space="0" w:color="CCCCCC"/>
      <w:shd w:val="clear" w:color="auto" w:fill="FFFFFF"/>
    </w:rPr>
  </w:style>
  <w:style w:type="character" w:customStyle="1" w:styleId="on">
    <w:name w:val="on"/>
    <w:basedOn w:val="a0"/>
  </w:style>
  <w:style w:type="character" w:customStyle="1" w:styleId="hover67">
    <w:name w:val="hover67"/>
    <w:basedOn w:val="a0"/>
    <w:rPr>
      <w:color w:val="9E0020"/>
    </w:rPr>
  </w:style>
  <w:style w:type="character" w:customStyle="1" w:styleId="bsharetext">
    <w:name w:val="bsharetext"/>
    <w:basedOn w:val="a0"/>
  </w:style>
  <w:style w:type="character" w:customStyle="1" w:styleId="first-child">
    <w:name w:val="first-child"/>
    <w:basedOn w:val="a0"/>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kjc</dc:creator>
  <cp:lastModifiedBy>王斐儒</cp:lastModifiedBy>
  <cp:revision>2</cp:revision>
  <dcterms:created xsi:type="dcterms:W3CDTF">2014-10-29T12:08:00Z</dcterms:created>
  <dcterms:modified xsi:type="dcterms:W3CDTF">2021-05-17T06:55:00Z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