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hint="eastAsia" w:eastAsiaTheme="majorEastAsia"/>
          <w:lang w:eastAsia="zh-CN"/>
        </w:rPr>
      </w:pPr>
      <w:bookmarkStart w:id="0" w:name="_GoBack"/>
      <w:bookmarkEnd w:id="0"/>
      <w:r>
        <w:rPr>
          <w:rFonts w:hint="eastAsia"/>
        </w:rPr>
        <w:t>赤峰学院全面预算绩效管理实施细则</w:t>
      </w:r>
      <w:r>
        <w:rPr>
          <w:rFonts w:hint="eastAsia"/>
          <w:lang w:eastAsia="zh-CN"/>
        </w:rPr>
        <w:t>（</w:t>
      </w:r>
      <w:r>
        <w:rPr>
          <w:rFonts w:hint="eastAsia"/>
          <w:lang w:val="en-US" w:eastAsia="zh-CN"/>
        </w:rPr>
        <w:t>试行</w:t>
      </w:r>
      <w:r>
        <w:rPr>
          <w:rFonts w:hint="eastAsia"/>
          <w:lang w:eastAsia="zh-CN"/>
        </w:rPr>
        <w:t>）</w:t>
      </w:r>
    </w:p>
    <w:p>
      <w:pPr>
        <w:pStyle w:val="15"/>
        <w:spacing w:before="312" w:after="312"/>
      </w:pPr>
      <w:r>
        <w:rPr>
          <w:rFonts w:hint="eastAsia"/>
        </w:rPr>
        <w:t>第一章 总则</w:t>
      </w:r>
    </w:p>
    <w:p>
      <w:pPr>
        <w:pStyle w:val="13"/>
        <w:ind w:firstLine="640"/>
      </w:pPr>
      <w:r>
        <w:rPr>
          <w:rFonts w:hint="eastAsia"/>
        </w:rPr>
        <w:t>第一条  为加强预算绩效管理，强化预算支出责任，提高财政资金使用效益，根据《中华人民共和国预算法》《中共中央 国务院关于全面实施预算绩效管理的意见》</w:t>
      </w:r>
      <w:r>
        <w:rPr>
          <w:rFonts w:hint="eastAsia" w:ascii="仿宋" w:hAnsi="仿宋" w:cs="仿宋"/>
        </w:rPr>
        <w:t>(中发〔2018〕34号)</w:t>
      </w:r>
      <w:r>
        <w:rPr>
          <w:rFonts w:hint="eastAsia"/>
        </w:rPr>
        <w:t>《内蒙古自治区关于全面实施预算绩效管理的实施意见》</w:t>
      </w:r>
      <w:r>
        <w:rPr>
          <w:rFonts w:hint="eastAsia" w:ascii="仿宋" w:hAnsi="仿宋" w:cs="仿宋"/>
        </w:rPr>
        <w:t>(内财监〔2019〕1343号)</w:t>
      </w:r>
      <w:r>
        <w:rPr>
          <w:rFonts w:hint="eastAsia"/>
        </w:rPr>
        <w:t>《赤峰市全面实施预算绩效管理实施方案》（赤财监规</w:t>
      </w:r>
      <w:r>
        <w:rPr>
          <w:rFonts w:hint="eastAsia" w:ascii="仿宋" w:hAnsi="仿宋" w:cs="仿宋"/>
        </w:rPr>
        <w:t>〔2020〕</w:t>
      </w:r>
      <w:r>
        <w:rPr>
          <w:rFonts w:hint="eastAsia"/>
        </w:rPr>
        <w:t>4号）等法律法规和文件规定，按照“花钱必问效、无效必问责”的要求，结合我校实际，制定本细则。</w:t>
      </w:r>
    </w:p>
    <w:p>
      <w:pPr>
        <w:pStyle w:val="13"/>
        <w:ind w:firstLine="640"/>
      </w:pPr>
      <w:r>
        <w:rPr>
          <w:rFonts w:hint="eastAsia"/>
        </w:rPr>
        <w:t xml:space="preserve">第二条  </w:t>
      </w:r>
      <w:r>
        <w:rPr>
          <w:rFonts w:hint="eastAsia"/>
          <w:shd w:val="clear" w:color="auto" w:fill="FFFFFF"/>
        </w:rPr>
        <w:t>各部门和项目负责人</w:t>
      </w:r>
      <w:r>
        <w:rPr>
          <w:rFonts w:hint="eastAsia"/>
          <w:color w:val="363636"/>
          <w:shd w:val="clear" w:color="auto" w:fill="FFFFFF"/>
        </w:rPr>
        <w:t>为预算绩效管理的执行责任主体，预算绩效管理对象为纳入预算管理的所有财政性资金和创收资金，重点是财政性资金。</w:t>
      </w:r>
    </w:p>
    <w:p>
      <w:pPr>
        <w:pStyle w:val="13"/>
        <w:ind w:firstLine="640"/>
      </w:pPr>
      <w:r>
        <w:rPr>
          <w:rFonts w:hint="eastAsia"/>
        </w:rPr>
        <w:t>第三条  预算绩效管理的总体目标是持续提升我校预算绩效管理水平，不断提高财政资金使用效益，逐步建成我校全方位、全过程、全覆盖的预算绩效管理体系。</w:t>
      </w:r>
    </w:p>
    <w:p>
      <w:pPr>
        <w:pStyle w:val="15"/>
        <w:spacing w:before="312" w:after="312"/>
      </w:pPr>
      <w:r>
        <w:rPr>
          <w:rFonts w:hint="eastAsia"/>
        </w:rPr>
        <w:t>第二章 职责分工</w:t>
      </w:r>
    </w:p>
    <w:p>
      <w:pPr>
        <w:pStyle w:val="13"/>
        <w:ind w:firstLine="640"/>
      </w:pPr>
      <w:r>
        <w:rPr>
          <w:rFonts w:hint="eastAsia"/>
        </w:rPr>
        <w:t>第四条  学校校长办公会是学校全面实施预算绩效管理的领导机构，财经工作领导小组负责牵头组织全面预算绩效工作，我校各预算单位（即二级学院、教学及党政教辅部门，下同）及</w:t>
      </w:r>
      <w:r>
        <w:t>项目负责人</w:t>
      </w:r>
      <w:r>
        <w:rPr>
          <w:rFonts w:hint="eastAsia"/>
        </w:rPr>
        <w:t>是具体承担预算绩效管理工作的责任主体，按照工作职责分工，各自承担预算绩效管理相关工作。</w:t>
      </w:r>
    </w:p>
    <w:p>
      <w:pPr>
        <w:pStyle w:val="13"/>
        <w:ind w:firstLine="640"/>
      </w:pPr>
      <w:r>
        <w:rPr>
          <w:rFonts w:hint="eastAsia"/>
        </w:rPr>
        <w:t>（一）财经工作领导小组职责：</w:t>
      </w:r>
    </w:p>
    <w:p>
      <w:pPr>
        <w:ind w:firstLine="640" w:firstLineChars="200"/>
      </w:pPr>
      <w:r>
        <w:rPr>
          <w:rFonts w:hint="eastAsia" w:eastAsia="仿宋"/>
          <w:sz w:val="32"/>
        </w:rPr>
        <w:t>财经工作领导小组在计划财务处下设办公室（以下简称财经小组办公室）。</w:t>
      </w:r>
    </w:p>
    <w:p>
      <w:pPr>
        <w:pStyle w:val="13"/>
        <w:ind w:firstLine="640"/>
        <w:rPr>
          <w:rFonts w:ascii="仿宋" w:hAnsi="仿宋" w:cs="仿宋"/>
        </w:rPr>
      </w:pPr>
      <w:r>
        <w:rPr>
          <w:rFonts w:hint="eastAsia" w:ascii="仿宋" w:hAnsi="仿宋" w:cs="仿宋"/>
        </w:rPr>
        <w:t>1.及时传达上级财政部门</w:t>
      </w:r>
      <w:r>
        <w:rPr>
          <w:rFonts w:ascii="仿宋" w:hAnsi="仿宋" w:cs="仿宋"/>
        </w:rPr>
        <w:t>相关制度文件</w:t>
      </w:r>
      <w:r>
        <w:rPr>
          <w:rFonts w:hint="eastAsia" w:ascii="仿宋" w:hAnsi="仿宋" w:cs="仿宋"/>
        </w:rPr>
        <w:t>，并</w:t>
      </w:r>
      <w:r>
        <w:rPr>
          <w:rFonts w:ascii="仿宋" w:hAnsi="仿宋" w:cs="仿宋"/>
        </w:rPr>
        <w:t>负责</w:t>
      </w:r>
      <w:r>
        <w:rPr>
          <w:rFonts w:hint="eastAsia" w:ascii="仿宋" w:hAnsi="仿宋" w:cs="仿宋"/>
        </w:rPr>
        <w:t>组织落实</w:t>
      </w:r>
      <w:r>
        <w:rPr>
          <w:rFonts w:ascii="仿宋" w:hAnsi="仿宋" w:cs="仿宋"/>
        </w:rPr>
        <w:t>。</w:t>
      </w:r>
      <w:r>
        <w:rPr>
          <w:rFonts w:hint="eastAsia" w:ascii="仿宋" w:hAnsi="仿宋" w:cs="仿宋"/>
        </w:rPr>
        <w:t>加强预算绩效管理培训和指导，不定期组织预算绩效管理宣讲培训，指导我校各预算单位的全面预算绩效管理工作。</w:t>
      </w:r>
    </w:p>
    <w:p>
      <w:pPr>
        <w:pStyle w:val="13"/>
        <w:ind w:firstLine="640"/>
        <w:rPr>
          <w:rFonts w:ascii="仿宋" w:hAnsi="仿宋" w:cs="仿宋"/>
        </w:rPr>
      </w:pPr>
      <w:r>
        <w:rPr>
          <w:rFonts w:hint="eastAsia" w:ascii="仿宋" w:hAnsi="仿宋" w:cs="仿宋"/>
        </w:rPr>
        <w:t>2.指导相关预算单位开展新增专项事前绩效评估工作。</w:t>
      </w:r>
    </w:p>
    <w:p>
      <w:pPr>
        <w:pStyle w:val="13"/>
        <w:ind w:firstLine="640"/>
        <w:rPr>
          <w:rFonts w:ascii="仿宋" w:hAnsi="仿宋" w:cs="仿宋"/>
        </w:rPr>
      </w:pPr>
      <w:r>
        <w:rPr>
          <w:rFonts w:hint="eastAsia" w:ascii="仿宋" w:hAnsi="仿宋" w:cs="仿宋"/>
        </w:rPr>
        <w:t>3.会同相关业务主管部门编制学校整体支出绩效目标。</w:t>
      </w:r>
    </w:p>
    <w:p>
      <w:pPr>
        <w:pStyle w:val="13"/>
        <w:ind w:firstLine="640"/>
        <w:rPr>
          <w:rFonts w:ascii="仿宋" w:hAnsi="仿宋" w:cs="仿宋"/>
        </w:rPr>
      </w:pPr>
      <w:r>
        <w:rPr>
          <w:rFonts w:hint="eastAsia" w:ascii="仿宋" w:hAnsi="仿宋" w:cs="仿宋"/>
        </w:rPr>
        <w:t>4.审核各预算单位编制的年度预算专项资金、部门（单位）整体支出绩效目标，并按规定流程报送财政部门。</w:t>
      </w:r>
    </w:p>
    <w:p>
      <w:pPr>
        <w:pStyle w:val="13"/>
        <w:ind w:firstLine="640"/>
        <w:rPr>
          <w:rFonts w:ascii="仿宋" w:hAnsi="仿宋" w:cs="仿宋"/>
        </w:rPr>
      </w:pPr>
      <w:r>
        <w:rPr>
          <w:rFonts w:hint="eastAsia" w:ascii="仿宋" w:hAnsi="仿宋" w:cs="仿宋"/>
        </w:rPr>
        <w:t>5.组织开展预算绩效监控工作。</w:t>
      </w:r>
    </w:p>
    <w:p>
      <w:pPr>
        <w:pStyle w:val="13"/>
        <w:ind w:firstLine="640"/>
        <w:rPr>
          <w:rFonts w:ascii="仿宋" w:hAnsi="仿宋" w:cs="仿宋"/>
        </w:rPr>
      </w:pPr>
      <w:r>
        <w:rPr>
          <w:rFonts w:hint="eastAsia" w:ascii="仿宋" w:hAnsi="仿宋" w:cs="仿宋"/>
        </w:rPr>
        <w:t>6.组织开展年度预算绩效自评工作并定期通报，按规定公开。</w:t>
      </w:r>
    </w:p>
    <w:p>
      <w:pPr>
        <w:pStyle w:val="13"/>
        <w:ind w:firstLine="640"/>
        <w:rPr>
          <w:rFonts w:ascii="仿宋" w:hAnsi="仿宋" w:cs="仿宋"/>
        </w:rPr>
      </w:pPr>
      <w:r>
        <w:rPr>
          <w:rFonts w:hint="eastAsia" w:ascii="仿宋" w:hAnsi="仿宋" w:cs="仿宋"/>
        </w:rPr>
        <w:t>7.指导、监督各预算单位完成各级财政部门开展的预算绩效评价工作。</w:t>
      </w:r>
    </w:p>
    <w:p>
      <w:pPr>
        <w:pStyle w:val="13"/>
        <w:ind w:firstLine="640"/>
        <w:rPr>
          <w:rFonts w:ascii="仿宋" w:hAnsi="仿宋" w:cs="仿宋"/>
        </w:rPr>
      </w:pPr>
      <w:r>
        <w:rPr>
          <w:rFonts w:hint="eastAsia" w:ascii="仿宋" w:hAnsi="仿宋" w:cs="仿宋"/>
        </w:rPr>
        <w:t>8.负责将预算绩效评价结果作为年度预算安排、调整和专项资金分配的重要依据，并据此提出合理化建议。</w:t>
      </w:r>
    </w:p>
    <w:p>
      <w:pPr>
        <w:pStyle w:val="13"/>
        <w:ind w:firstLine="640"/>
        <w:rPr>
          <w:rFonts w:ascii="仿宋" w:hAnsi="仿宋" w:cs="仿宋"/>
        </w:rPr>
      </w:pPr>
      <w:r>
        <w:rPr>
          <w:rFonts w:hint="eastAsia" w:ascii="仿宋" w:hAnsi="仿宋" w:cs="仿宋"/>
        </w:rPr>
        <w:t>（二）预算单位职责（含项目负责人）：</w:t>
      </w:r>
    </w:p>
    <w:p>
      <w:pPr>
        <w:pStyle w:val="13"/>
        <w:ind w:firstLine="640"/>
      </w:pPr>
      <w:r>
        <w:rPr>
          <w:rFonts w:hint="eastAsia" w:ascii="仿宋" w:hAnsi="仿宋" w:cs="仿宋"/>
        </w:rPr>
        <w:t>1.严格执行预算绩效管</w:t>
      </w:r>
      <w:r>
        <w:rPr>
          <w:rFonts w:hint="eastAsia"/>
        </w:rPr>
        <w:t>理制度，并按照各级财政下发文件及通知的要求开展绩效管理相关工作。</w:t>
      </w:r>
    </w:p>
    <w:p>
      <w:pPr>
        <w:pStyle w:val="13"/>
        <w:ind w:firstLine="640"/>
        <w:rPr>
          <w:rFonts w:ascii="仿宋" w:hAnsi="仿宋" w:cs="仿宋"/>
        </w:rPr>
      </w:pPr>
      <w:r>
        <w:rPr>
          <w:rFonts w:hint="eastAsia" w:ascii="仿宋" w:hAnsi="仿宋" w:cs="仿宋"/>
        </w:rPr>
        <w:t>2.负责组织开展新增专项事前绩效评估工作。</w:t>
      </w:r>
    </w:p>
    <w:p>
      <w:pPr>
        <w:pStyle w:val="13"/>
        <w:ind w:firstLine="640"/>
        <w:rPr>
          <w:rFonts w:ascii="仿宋" w:hAnsi="仿宋" w:cs="仿宋"/>
        </w:rPr>
      </w:pPr>
      <w:r>
        <w:rPr>
          <w:rFonts w:hint="eastAsia" w:ascii="仿宋" w:hAnsi="仿宋" w:cs="仿宋"/>
        </w:rPr>
        <w:t>3.编制部门（学院）整体支出绩效目标。</w:t>
      </w:r>
    </w:p>
    <w:p>
      <w:pPr>
        <w:pStyle w:val="13"/>
        <w:ind w:firstLine="640"/>
        <w:rPr>
          <w:rFonts w:ascii="仿宋" w:hAnsi="仿宋" w:cs="仿宋"/>
        </w:rPr>
      </w:pPr>
      <w:r>
        <w:rPr>
          <w:rFonts w:hint="eastAsia" w:ascii="仿宋" w:hAnsi="仿宋" w:cs="仿宋"/>
        </w:rPr>
        <w:t>4.负责编制本部门</w:t>
      </w:r>
      <w:r>
        <w:rPr>
          <w:rFonts w:ascii="仿宋" w:hAnsi="仿宋" w:cs="仿宋"/>
        </w:rPr>
        <w:t>下达的</w:t>
      </w:r>
      <w:r>
        <w:rPr>
          <w:rFonts w:hint="eastAsia" w:ascii="仿宋" w:hAnsi="仿宋" w:cs="仿宋"/>
        </w:rPr>
        <w:t>专项资金年度预算绩效目标。</w:t>
      </w:r>
    </w:p>
    <w:p>
      <w:pPr>
        <w:pStyle w:val="13"/>
        <w:ind w:firstLine="640"/>
        <w:rPr>
          <w:rFonts w:ascii="仿宋" w:hAnsi="仿宋" w:cs="仿宋"/>
        </w:rPr>
      </w:pPr>
      <w:r>
        <w:rPr>
          <w:rFonts w:hint="eastAsia" w:ascii="仿宋" w:hAnsi="仿宋" w:cs="仿宋"/>
        </w:rPr>
        <w:t>5.负责专项资金和整体支出预算绩效监控及自评工作。</w:t>
      </w:r>
    </w:p>
    <w:p>
      <w:pPr>
        <w:pStyle w:val="13"/>
        <w:ind w:firstLine="640"/>
        <w:rPr>
          <w:rFonts w:ascii="仿宋" w:hAnsi="仿宋" w:cs="仿宋"/>
        </w:rPr>
      </w:pPr>
      <w:r>
        <w:rPr>
          <w:rFonts w:hint="eastAsia" w:ascii="仿宋" w:hAnsi="仿宋" w:cs="仿宋"/>
        </w:rPr>
        <w:t>6.负责预算绩效重点评价工作。</w:t>
      </w:r>
    </w:p>
    <w:p>
      <w:pPr>
        <w:pStyle w:val="13"/>
        <w:ind w:firstLine="640"/>
      </w:pPr>
      <w:r>
        <w:rPr>
          <w:rFonts w:hint="eastAsia" w:ascii="仿宋" w:hAnsi="仿宋" w:cs="仿宋"/>
        </w:rPr>
        <w:t>7.负责</w:t>
      </w:r>
      <w:r>
        <w:rPr>
          <w:rFonts w:hint="eastAsia"/>
        </w:rPr>
        <w:t>对涉及本部门主管业务的预算绩效评价结果进行落实整改。</w:t>
      </w:r>
    </w:p>
    <w:p>
      <w:pPr>
        <w:pStyle w:val="15"/>
        <w:spacing w:before="312" w:after="312"/>
      </w:pPr>
      <w:r>
        <w:rPr>
          <w:rFonts w:hint="eastAsia"/>
        </w:rPr>
        <w:t>第三章 事前绩效评估管理</w:t>
      </w:r>
    </w:p>
    <w:p>
      <w:pPr>
        <w:pStyle w:val="13"/>
        <w:ind w:firstLine="640"/>
      </w:pPr>
      <w:r>
        <w:rPr>
          <w:rFonts w:hint="eastAsia"/>
        </w:rPr>
        <w:t>第五条  事前绩效评估管理是指对新设专项的立项必要性、投入经济性、绩效目标合理性、实施方案可行性、筹资合规性等进行论证评估，以提高决策的科学性和精准性。</w:t>
      </w:r>
    </w:p>
    <w:p>
      <w:pPr>
        <w:pStyle w:val="13"/>
        <w:ind w:firstLine="640"/>
      </w:pPr>
      <w:r>
        <w:rPr>
          <w:rFonts w:hint="eastAsia"/>
        </w:rPr>
        <w:t>第六条  各部门申请的新设专项资金，应结合预算评审、项目审批等开展事前绩效评估。事前绩效评估作为申请预算的必要条件，对未开展绩效评估或绩效评估结果差的项目，不得列入年度预算。</w:t>
      </w:r>
    </w:p>
    <w:p>
      <w:pPr>
        <w:pStyle w:val="13"/>
        <w:ind w:firstLine="640"/>
      </w:pPr>
      <w:r>
        <w:rPr>
          <w:rFonts w:hint="eastAsia"/>
        </w:rPr>
        <w:t>第七条  各业务主管部门负责牵头组织开展新设专项的事前绩效评估工作。各预算单位在编制年度部门预算时，同时填报《事前绩效评估情况表》、《事前绩效评估报告》。报财经小组办公室汇总后，提请财经工作领导小组审核，必要时组织第三方机构独立开展绩效评估，并依据审核和评估结果提出预算安排建议。</w:t>
      </w:r>
    </w:p>
    <w:p>
      <w:pPr>
        <w:pStyle w:val="15"/>
        <w:spacing w:before="312" w:after="312"/>
        <w:rPr>
          <w:color w:val="000000" w:themeColor="text1"/>
          <w14:textFill>
            <w14:solidFill>
              <w14:schemeClr w14:val="tx1"/>
            </w14:solidFill>
          </w14:textFill>
        </w:rPr>
      </w:pPr>
      <w:r>
        <w:rPr>
          <w:rFonts w:hint="eastAsia"/>
        </w:rPr>
        <w:t xml:space="preserve">第四章 </w:t>
      </w:r>
      <w:r>
        <w:rPr>
          <w:rFonts w:hint="eastAsia"/>
          <w:color w:val="000000" w:themeColor="text1"/>
          <w14:textFill>
            <w14:solidFill>
              <w14:schemeClr w14:val="tx1"/>
            </w14:solidFill>
          </w14:textFill>
        </w:rPr>
        <w:t>预算绩效目标管理</w:t>
      </w:r>
    </w:p>
    <w:p>
      <w:pPr>
        <w:pStyle w:val="13"/>
        <w:ind w:firstLine="640"/>
      </w:pPr>
      <w:r>
        <w:rPr>
          <w:rFonts w:hint="eastAsia"/>
        </w:rPr>
        <w:t>第八条  预算编制强化绩效目标管理。预算绩效目标是指绩效评价对象计划在一定期限内达到的产出和效果，设定预算绩效目标应符合“指向明确、具体细化、合理可行”的要求，并与预算安排的资金数额相匹配。</w:t>
      </w:r>
    </w:p>
    <w:p>
      <w:pPr>
        <w:pStyle w:val="13"/>
        <w:ind w:firstLine="640"/>
      </w:pPr>
      <w:r>
        <w:rPr>
          <w:rFonts w:hint="eastAsia"/>
        </w:rPr>
        <w:t>预算绩效指标体系包括一级指标、二级指标和三级指标。一级指标是“产出”、“效益”、“满意度”；二级指标是在一级指标下设立的细化指标，可包括数量、质量、时效、成本、经济效益、社会效益、生态效益、可持续影响以及服务对象满意度等指标；三级指标是在二级指标下设立的具体量化指标或有明确标准、易于考核的个性化指标，原则上填报不少于6类二级指标。学校各预算单位应按照学校发展规划的要求，结合本单位工作实际，科学合理设置可量化、可考核、可评估的绩效指标。</w:t>
      </w:r>
    </w:p>
    <w:p>
      <w:pPr>
        <w:pStyle w:val="13"/>
        <w:ind w:firstLine="640"/>
      </w:pPr>
      <w:r>
        <w:rPr>
          <w:rFonts w:hint="eastAsia"/>
        </w:rPr>
        <w:t>第九条  规范预算绩效目标编制。每年六月，计划财务处开始组织申报下一年度部门预算，各预算单位应按照部门预算编制的要求，填报《基本支出绩效目标申报表》和《专项支出绩效目标申报表》，经本部门负责人及分管校领导签字（二级学院预算须经党政联席会议通过后由本学院书记、院长共同签字，下同）报送</w:t>
      </w:r>
      <w:r>
        <w:rPr>
          <w:rFonts w:hint="eastAsia" w:ascii="仿宋" w:hAnsi="仿宋" w:cs="仿宋"/>
        </w:rPr>
        <w:t>财经小组办公室</w:t>
      </w:r>
      <w:r>
        <w:rPr>
          <w:rFonts w:hint="eastAsia"/>
        </w:rPr>
        <w:t>汇总。由</w:t>
      </w:r>
      <w:r>
        <w:rPr>
          <w:rFonts w:hint="eastAsia" w:ascii="仿宋" w:hAnsi="仿宋" w:cs="仿宋"/>
        </w:rPr>
        <w:t>财经小组办公室</w:t>
      </w:r>
      <w:r>
        <w:rPr>
          <w:rFonts w:hint="eastAsia"/>
        </w:rPr>
        <w:t>依次提请学校财经工作领导小组、校长办公、党委会议审议。</w:t>
      </w:r>
    </w:p>
    <w:p>
      <w:pPr>
        <w:pStyle w:val="13"/>
        <w:ind w:firstLine="640"/>
      </w:pPr>
      <w:r>
        <w:rPr>
          <w:rFonts w:hint="eastAsia"/>
        </w:rPr>
        <w:t>审议通过后，计划财务处将年度预算和绩效目标同时上报市级财政进行审核批复。待批复后，计划财务处按照批复指标将资金全部下达到各预算单位，各单位按照资金批复额度编制《部门（学院）整体支出绩效目标申报表》，报送</w:t>
      </w:r>
      <w:r>
        <w:rPr>
          <w:rFonts w:hint="eastAsia" w:ascii="仿宋" w:hAnsi="仿宋" w:cs="仿宋"/>
        </w:rPr>
        <w:t>财经小组办公室</w:t>
      </w:r>
      <w:r>
        <w:rPr>
          <w:rFonts w:hint="eastAsia"/>
        </w:rPr>
        <w:t>备案。由计划财务处</w:t>
      </w:r>
      <w:r>
        <w:t>负责下达</w:t>
      </w:r>
      <w:r>
        <w:rPr>
          <w:rFonts w:hint="eastAsia"/>
        </w:rPr>
        <w:t>执行。</w:t>
      </w:r>
    </w:p>
    <w:p>
      <w:pPr>
        <w:pStyle w:val="13"/>
        <w:ind w:firstLine="640"/>
        <w:rPr>
          <w:color w:val="FF0000"/>
        </w:rPr>
      </w:pPr>
      <w:r>
        <w:rPr>
          <w:rFonts w:hint="eastAsia"/>
        </w:rPr>
        <w:t>年度预算和绩效目标一经批复，原则上不予调整；在预算执行中如确实需修改、调整的，经赤峰市财政局审批通过后，严格按照《赤峰学院预算管理办法》（赤院党政办字</w:t>
      </w:r>
      <w:r>
        <w:rPr>
          <w:rFonts w:hint="eastAsia" w:ascii="仿宋" w:hAnsi="仿宋" w:cs="仿宋"/>
        </w:rPr>
        <w:t>〔2019〕32</w:t>
      </w:r>
      <w:r>
        <w:rPr>
          <w:rFonts w:hint="eastAsia"/>
        </w:rPr>
        <w:t>号）中年度预算批复流程执行。</w:t>
      </w:r>
    </w:p>
    <w:p>
      <w:pPr>
        <w:pStyle w:val="15"/>
        <w:spacing w:before="312" w:after="312"/>
      </w:pPr>
      <w:r>
        <w:rPr>
          <w:rFonts w:hint="eastAsia"/>
        </w:rPr>
        <w:t>第五章 预算绩效监控管理</w:t>
      </w:r>
    </w:p>
    <w:p>
      <w:pPr>
        <w:pStyle w:val="13"/>
        <w:ind w:firstLine="640"/>
      </w:pPr>
      <w:r>
        <w:rPr>
          <w:rFonts w:hint="eastAsia"/>
        </w:rPr>
        <w:t>第十条  加强预算绩效运行监控。按照“谁支出、谁负责”的原则，对绩效目标完成情况和预算执行进度实行“双监控”。各业务主管部门负责本部门下达的专项支出绩效运行监控，财经领导小组负责各预算单位整体支出绩效运行监控。</w:t>
      </w:r>
      <w:r>
        <w:rPr>
          <w:rFonts w:hint="eastAsia" w:ascii="仿宋" w:hAnsi="仿宋" w:cs="仿宋"/>
        </w:rPr>
        <w:t>在每年7月初，各预算单位应填报1-6月</w:t>
      </w:r>
      <w:r>
        <w:rPr>
          <w:rFonts w:hint="eastAsia"/>
        </w:rPr>
        <w:t>《专项支出绩效监控表》、《部门</w:t>
      </w:r>
      <w:r>
        <w:rPr>
          <w:rFonts w:hint="eastAsia" w:ascii="仿宋" w:hAnsi="仿宋" w:cs="仿宋"/>
        </w:rPr>
        <w:t>（学院）</w:t>
      </w:r>
      <w:r>
        <w:rPr>
          <w:rFonts w:hint="eastAsia"/>
        </w:rPr>
        <w:t>整体支出绩效监控表》，于7</w:t>
      </w:r>
      <w:r>
        <w:rPr>
          <w:rFonts w:hint="eastAsia" w:ascii="仿宋" w:hAnsi="仿宋" w:cs="仿宋"/>
        </w:rPr>
        <w:t>月15</w:t>
      </w:r>
      <w:r>
        <w:rPr>
          <w:rFonts w:hint="eastAsia"/>
        </w:rPr>
        <w:t>日前报送</w:t>
      </w:r>
      <w:r>
        <w:rPr>
          <w:rFonts w:hint="eastAsia" w:ascii="仿宋" w:hAnsi="仿宋" w:cs="仿宋"/>
        </w:rPr>
        <w:t>财经小组办公室</w:t>
      </w:r>
      <w:r>
        <w:rPr>
          <w:rFonts w:hint="eastAsia"/>
        </w:rPr>
        <w:t>。经汇总后，报请校财经工作领导小组会议审议。</w:t>
      </w:r>
    </w:p>
    <w:p>
      <w:pPr>
        <w:pStyle w:val="13"/>
        <w:ind w:firstLine="640"/>
      </w:pPr>
      <w:r>
        <w:rPr>
          <w:rFonts w:hint="eastAsia"/>
        </w:rPr>
        <w:t>第十一条  实施预算绩效全过程管理。财经工作</w:t>
      </w:r>
      <w:r>
        <w:t>领导</w:t>
      </w:r>
      <w:r>
        <w:rPr>
          <w:rFonts w:hint="eastAsia"/>
        </w:rPr>
        <w:t>小组负责指导</w:t>
      </w:r>
      <w:r>
        <w:t>实施</w:t>
      </w:r>
      <w:r>
        <w:rPr>
          <w:rFonts w:hint="eastAsia"/>
        </w:rPr>
        <w:t>年中</w:t>
      </w:r>
      <w:r>
        <w:t>预算绩效</w:t>
      </w:r>
      <w:r>
        <w:rPr>
          <w:rFonts w:hint="eastAsia"/>
        </w:rPr>
        <w:t>双监控工作；各业务主管部门负责跟踪所制定的预算绩效目标完成情况、项目实施进度，</w:t>
      </w:r>
      <w:r>
        <w:t>及时报送监控结果</w:t>
      </w:r>
      <w:r>
        <w:rPr>
          <w:rFonts w:hint="eastAsia"/>
        </w:rPr>
        <w:t>。发现问题要及时分析原因，并督促项目单位尽快采取整改措施，确保预算绩效目标如期完成。</w:t>
      </w:r>
    </w:p>
    <w:p>
      <w:pPr>
        <w:pStyle w:val="13"/>
        <w:ind w:firstLine="640"/>
      </w:pPr>
      <w:r>
        <w:rPr>
          <w:rFonts w:hint="eastAsia"/>
        </w:rPr>
        <w:t>第十二条  建立绩效重点评价常态机制。在每年第三季度前后，财经工作领导小组制定预算绩效重点监控工作方案，加强重点专项资金监管，抽取部分纳入预算绩效监控范围的重点项目。会同相关单位组织开展现场核查，跟踪资金执行进度、项目实施进展和绩效目标完成等情况，发现问题及时提出整改意见，提升财政资金使用效益，必要时可委托第三方机构来完成。</w:t>
      </w:r>
    </w:p>
    <w:p>
      <w:pPr>
        <w:pStyle w:val="15"/>
        <w:spacing w:before="312" w:after="312"/>
      </w:pPr>
      <w:r>
        <w:rPr>
          <w:rFonts w:hint="eastAsia"/>
        </w:rPr>
        <w:t>第六章 预算绩效评价管理</w:t>
      </w:r>
    </w:p>
    <w:p>
      <w:pPr>
        <w:pStyle w:val="13"/>
        <w:ind w:firstLine="640"/>
      </w:pPr>
      <w:r>
        <w:rPr>
          <w:rFonts w:hint="eastAsia"/>
        </w:rPr>
        <w:t>第十三条  预算绩效评价主要内容。预算绩效评价是指根据设定的预算绩效目标，运用科学、合理的绩效评价指标、评价标准和评价方法，对财政支出的经济性、效率性和效益性进行客观、公正的评价。</w:t>
      </w:r>
    </w:p>
    <w:p>
      <w:pPr>
        <w:pStyle w:val="13"/>
        <w:ind w:firstLine="640"/>
      </w:pPr>
      <w:r>
        <w:rPr>
          <w:rFonts w:hint="eastAsia"/>
        </w:rPr>
        <w:t>主要内容包括：预算绩效目标的设定情况、实现程度及效果；为实现绩效目标制定的制度、采取的措施；资金投入、使用、产出、效果及管理情况；项目推进实施情况及相关政策执行情况等。主要形式有预算绩效自评、部门（单位）整体支出绩效评价、财政绩效重点评价等。</w:t>
      </w:r>
    </w:p>
    <w:p>
      <w:pPr>
        <w:pStyle w:val="13"/>
        <w:ind w:firstLine="640"/>
      </w:pPr>
      <w:r>
        <w:rPr>
          <w:rFonts w:hint="eastAsia"/>
        </w:rPr>
        <w:t>（一）预算绩效自评是指预算部门按照规定的工作程序和方法，对各级财政安排的项目支出资金使用效果及项目实施管理等情况进行评价。</w:t>
      </w:r>
    </w:p>
    <w:p>
      <w:pPr>
        <w:pStyle w:val="13"/>
        <w:ind w:firstLine="640"/>
      </w:pPr>
      <w:r>
        <w:rPr>
          <w:rFonts w:hint="eastAsia"/>
        </w:rPr>
        <w:t>（二）部门（单位）整体支出绩效评价是指预算部门依据年度目标任务，对列入上一年度部门预算所有财政性资金的整体支出绩效目标完成情况进行评价。</w:t>
      </w:r>
    </w:p>
    <w:p>
      <w:pPr>
        <w:pStyle w:val="13"/>
        <w:ind w:firstLine="640"/>
      </w:pPr>
      <w:r>
        <w:rPr>
          <w:rFonts w:hint="eastAsia"/>
        </w:rPr>
        <w:t>（三）财政绩效重点评价是指中央和自治区财政部门对支持高校改革发展重大项目实施的评价。</w:t>
      </w:r>
    </w:p>
    <w:p>
      <w:pPr>
        <w:pStyle w:val="13"/>
        <w:ind w:firstLine="640"/>
      </w:pPr>
      <w:r>
        <w:rPr>
          <w:rFonts w:hint="eastAsia"/>
        </w:rPr>
        <w:t>每年第一季度，各预算单位应当依据上一年度</w:t>
      </w:r>
      <w:r>
        <w:t>已</w:t>
      </w:r>
      <w:r>
        <w:rPr>
          <w:rFonts w:hint="eastAsia"/>
        </w:rPr>
        <w:t>批复的绩效目标，对项目完成情况进行总结自评。对应填报《专项支出绩效自评表》和《部门（学院）整体支出绩效自评表》，并形成绩效自评报告，报</w:t>
      </w:r>
      <w:r>
        <w:rPr>
          <w:rFonts w:hint="eastAsia" w:ascii="仿宋" w:hAnsi="仿宋" w:cs="仿宋"/>
        </w:rPr>
        <w:t>财经小组办公室</w:t>
      </w:r>
      <w:r>
        <w:rPr>
          <w:rFonts w:hint="eastAsia"/>
        </w:rPr>
        <w:t>汇总，提请财经工作领导小组审议。</w:t>
      </w:r>
    </w:p>
    <w:p>
      <w:pPr>
        <w:pStyle w:val="13"/>
        <w:ind w:firstLine="640"/>
      </w:pPr>
      <w:r>
        <w:rPr>
          <w:rFonts w:hint="eastAsia"/>
        </w:rPr>
        <w:t>绩效自评报告应当包括以下主要内容：</w:t>
      </w:r>
    </w:p>
    <w:p>
      <w:pPr>
        <w:pStyle w:val="13"/>
        <w:ind w:firstLine="640"/>
        <w:rPr>
          <w:rFonts w:ascii="仿宋" w:hAnsi="仿宋" w:cs="仿宋"/>
        </w:rPr>
      </w:pPr>
      <w:r>
        <w:rPr>
          <w:rFonts w:hint="eastAsia" w:ascii="仿宋" w:hAnsi="仿宋" w:cs="仿宋"/>
        </w:rPr>
        <w:t>1.基本概况，包括预算单位职能、事业发展规划、预决算情况、项目立项依据等。</w:t>
      </w:r>
    </w:p>
    <w:p>
      <w:pPr>
        <w:pStyle w:val="13"/>
        <w:ind w:firstLine="640"/>
        <w:rPr>
          <w:rFonts w:ascii="仿宋" w:hAnsi="仿宋" w:cs="仿宋"/>
        </w:rPr>
      </w:pPr>
      <w:r>
        <w:rPr>
          <w:rFonts w:hint="eastAsia" w:ascii="仿宋" w:hAnsi="仿宋" w:cs="仿宋"/>
        </w:rPr>
        <w:t>2.绩效目标及其设立依据和调整情况。</w:t>
      </w:r>
    </w:p>
    <w:p>
      <w:pPr>
        <w:pStyle w:val="13"/>
        <w:ind w:firstLine="640"/>
        <w:rPr>
          <w:rFonts w:ascii="仿宋" w:hAnsi="仿宋" w:cs="仿宋"/>
        </w:rPr>
      </w:pPr>
      <w:r>
        <w:rPr>
          <w:rFonts w:hint="eastAsia" w:ascii="仿宋" w:hAnsi="仿宋" w:cs="仿宋"/>
        </w:rPr>
        <w:t>3.管理措施及组织实施情况。</w:t>
      </w:r>
    </w:p>
    <w:p>
      <w:pPr>
        <w:pStyle w:val="13"/>
        <w:ind w:firstLine="640"/>
        <w:rPr>
          <w:rFonts w:ascii="仿宋" w:hAnsi="仿宋" w:cs="仿宋"/>
        </w:rPr>
      </w:pPr>
      <w:r>
        <w:rPr>
          <w:rFonts w:hint="eastAsia" w:ascii="仿宋" w:hAnsi="仿宋" w:cs="仿宋"/>
        </w:rPr>
        <w:t>4.总结分析绩效目标完成情况。</w:t>
      </w:r>
    </w:p>
    <w:p>
      <w:pPr>
        <w:pStyle w:val="13"/>
        <w:ind w:firstLine="640"/>
        <w:rPr>
          <w:rFonts w:ascii="仿宋" w:hAnsi="仿宋" w:cs="仿宋"/>
        </w:rPr>
      </w:pPr>
      <w:r>
        <w:rPr>
          <w:rFonts w:hint="eastAsia" w:ascii="仿宋" w:hAnsi="仿宋" w:cs="仿宋"/>
        </w:rPr>
        <w:t>5.分析说明未完成项目目标及其原因。</w:t>
      </w:r>
    </w:p>
    <w:p>
      <w:pPr>
        <w:pStyle w:val="13"/>
        <w:ind w:firstLine="640"/>
        <w:rPr>
          <w:rFonts w:ascii="仿宋" w:hAnsi="仿宋" w:cs="仿宋"/>
        </w:rPr>
      </w:pPr>
      <w:r>
        <w:rPr>
          <w:rFonts w:hint="eastAsia" w:ascii="仿宋" w:hAnsi="仿宋" w:cs="仿宋"/>
        </w:rPr>
        <w:t>6.下一步改进工作的意见及建议。</w:t>
      </w:r>
    </w:p>
    <w:p>
      <w:pPr>
        <w:pStyle w:val="13"/>
        <w:ind w:firstLine="640"/>
      </w:pPr>
      <w:r>
        <w:rPr>
          <w:rFonts w:hint="eastAsia" w:ascii="仿宋" w:hAnsi="仿宋" w:cs="仿宋"/>
        </w:rPr>
        <w:t>7.其他需要说明的问题</w:t>
      </w:r>
      <w:r>
        <w:rPr>
          <w:rFonts w:hint="eastAsia"/>
        </w:rPr>
        <w:t>。</w:t>
      </w:r>
    </w:p>
    <w:p>
      <w:pPr>
        <w:pStyle w:val="15"/>
        <w:spacing w:before="312" w:after="312"/>
      </w:pPr>
      <w:r>
        <w:rPr>
          <w:rFonts w:hint="eastAsia"/>
        </w:rPr>
        <w:t>第七章 预算绩效评价结果应用</w:t>
      </w:r>
    </w:p>
    <w:p>
      <w:pPr>
        <w:pStyle w:val="16"/>
        <w:ind w:firstLine="640"/>
      </w:pPr>
      <w:r>
        <w:rPr>
          <w:rFonts w:hint="eastAsia"/>
        </w:rPr>
        <w:t>第十四条  加强评价刚性约束。逐步完善绩效评价结果与资金分配挂钩机制，并对各预算单位预算绩效管理情况进行量化评分，作为下一年度预算安排及专项资金分配的重要依据。</w:t>
      </w:r>
    </w:p>
    <w:p>
      <w:pPr>
        <w:pStyle w:val="13"/>
        <w:ind w:firstLine="640"/>
      </w:pPr>
      <w:r>
        <w:rPr>
          <w:rFonts w:hint="eastAsia"/>
        </w:rPr>
        <w:t>对预算绩效管理工作排名靠前、项目预算绩效双监控到位的单位，适当调增单位年度资金分配比例。对排名靠后且影响全校绩效考评的单位，适当调减单位年度资金分配比例。</w:t>
      </w:r>
    </w:p>
    <w:p>
      <w:pPr>
        <w:pStyle w:val="13"/>
        <w:ind w:firstLine="640"/>
      </w:pPr>
      <w:r>
        <w:rPr>
          <w:rFonts w:hint="eastAsia"/>
        </w:rPr>
        <w:t>预算绩效管理工作情况作为校内各单位考评和干部考核、奖惩、选拔任用的重要参考。</w:t>
      </w:r>
    </w:p>
    <w:p>
      <w:pPr>
        <w:pStyle w:val="13"/>
        <w:ind w:firstLine="640"/>
      </w:pPr>
      <w:r>
        <w:rPr>
          <w:rFonts w:hint="eastAsia"/>
        </w:rPr>
        <w:t>第十五条  强化评价问题反馈整改。在预算绩效评价中发现问题、达不到绩效目标、评价结果较差或工作推进不力的项目单位必须立行立改</w:t>
      </w:r>
      <w:r>
        <w:t>。</w:t>
      </w:r>
    </w:p>
    <w:p>
      <w:pPr>
        <w:pStyle w:val="13"/>
        <w:ind w:firstLine="640"/>
      </w:pPr>
      <w:r>
        <w:rPr>
          <w:rFonts w:hint="eastAsia"/>
        </w:rPr>
        <w:t>第十六条  实行信息公开制度。财经工作领导小组负责公开学校上一年度预算支出绩效评价总体情况。</w:t>
      </w:r>
    </w:p>
    <w:p>
      <w:pPr>
        <w:pStyle w:val="15"/>
        <w:spacing w:before="312" w:after="312"/>
      </w:pPr>
      <w:r>
        <w:rPr>
          <w:rFonts w:hint="eastAsia"/>
        </w:rPr>
        <w:t>第八章 监督管理</w:t>
      </w:r>
    </w:p>
    <w:p>
      <w:pPr>
        <w:pStyle w:val="13"/>
        <w:ind w:firstLine="640"/>
      </w:pPr>
      <w:r>
        <w:rPr>
          <w:rFonts w:hint="eastAsia"/>
        </w:rPr>
        <w:t>第十七条  完善内部协调机制。各业务主管部门要指定专人负责，加强财务与业务紧密联系，充实预算绩效管理力量，提高预算绩效管理能力和水平。</w:t>
      </w:r>
    </w:p>
    <w:p>
      <w:pPr>
        <w:pStyle w:val="13"/>
        <w:ind w:firstLine="640"/>
      </w:pPr>
      <w:r>
        <w:rPr>
          <w:rFonts w:hint="eastAsia"/>
        </w:rPr>
        <w:t>第十八条  建立内部责任机制。强化实施预算绩效管理的主体责任，各单位主要负责人亲自抓预算绩效管理，落实责任到岗到人，积极主动开展全面预算绩效管理工作。</w:t>
      </w:r>
    </w:p>
    <w:p>
      <w:pPr>
        <w:pStyle w:val="13"/>
        <w:ind w:firstLine="640"/>
      </w:pPr>
      <w:r>
        <w:rPr>
          <w:rFonts w:hint="eastAsia"/>
        </w:rPr>
        <w:t>第十九条  强化监督问责。参与预算绩效评价的有关单位和人员应坚守底线原则，严格执行中央八项规定精神，严守职业道德底线，清正廉洁，客观公正。</w:t>
      </w:r>
    </w:p>
    <w:p>
      <w:pPr>
        <w:pStyle w:val="13"/>
        <w:ind w:firstLine="640"/>
      </w:pPr>
      <w:r>
        <w:rPr>
          <w:rFonts w:hint="eastAsia"/>
        </w:rPr>
        <w:t>建立联动机制，加强纪检监督，对绩效监控、绩效评价结果弄虚作假、预算执行与绩效目标严重背离或擅自改变项目用途、虚报、冒领、截留、挪用等违纪违规行为的单位及其责任人，按相关规定进行追责问责。</w:t>
      </w:r>
    </w:p>
    <w:p>
      <w:pPr>
        <w:pStyle w:val="15"/>
        <w:spacing w:before="312" w:after="312"/>
      </w:pPr>
      <w:r>
        <w:rPr>
          <w:rFonts w:hint="eastAsia"/>
        </w:rPr>
        <w:t>第九章 附则</w:t>
      </w:r>
    </w:p>
    <w:p>
      <w:pPr>
        <w:pStyle w:val="13"/>
        <w:ind w:firstLine="640"/>
      </w:pPr>
      <w:r>
        <w:rPr>
          <w:rFonts w:hint="eastAsia"/>
        </w:rPr>
        <w:t>第二十条  本细则自发布之日起执行。</w:t>
      </w:r>
    </w:p>
    <w:p>
      <w:pPr>
        <w:pStyle w:val="13"/>
        <w:ind w:firstLine="640"/>
      </w:pPr>
      <w:r>
        <w:rPr>
          <w:rFonts w:hint="eastAsia"/>
        </w:rPr>
        <w:t>第二十一条  本细则由财经工作领导小组和计划财务处负责解释。</w:t>
      </w:r>
    </w:p>
    <w:p/>
    <w:p/>
    <w:p>
      <w:pPr>
        <w:spacing w:line="560" w:lineRule="exact"/>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附件：1.事前绩效评估情况表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2.事前绩效评估报告</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3.党政教辅部门基本支出绩效目标申报表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4.二级学院基本支出绩效目标申报表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5.专项支出绩效目标申报表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6.部门整体支出绩效目标申报表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7.部门（学院）整体支出绩效监控表（1-6月）</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8.专项支出绩效监控表（1-6月）</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9.部门（学院）整体支出绩效自评表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10.专项支出绩效自评表</w:t>
      </w:r>
    </w:p>
    <w:p>
      <w:pPr>
        <w:pStyle w:val="13"/>
        <w:ind w:firstLine="0" w:firstLineChars="0"/>
      </w:pPr>
    </w:p>
    <w:p>
      <w:pPr>
        <w:pStyle w:val="13"/>
        <w:ind w:firstLine="640"/>
      </w:pPr>
      <w:r>
        <w:rPr>
          <w:rFonts w:hint="eastAsia"/>
        </w:rPr>
        <w:t>备注：细则中的附件名称与格式可根据财政最新文件要求进行变动（另行通知）。</w:t>
      </w:r>
    </w:p>
    <w:p>
      <w:pPr>
        <w:spacing w:line="560" w:lineRule="exact"/>
      </w:pPr>
    </w:p>
    <w:p>
      <w:pPr>
        <w:pStyle w:val="13"/>
        <w:ind w:firstLine="640"/>
      </w:pPr>
    </w:p>
    <w:p>
      <w:pPr>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928125"/>
    </w:sdtPr>
    <w:sdtContent>
      <w:p>
        <w:pPr>
          <w:pStyle w:val="5"/>
          <w:jc w:val="right"/>
        </w:pPr>
        <w:r>
          <w:fldChar w:fldCharType="begin"/>
        </w:r>
        <w:r>
          <w:instrText xml:space="preserve"> PAGE   \* MERGEFORMAT </w:instrText>
        </w:r>
        <w:r>
          <w:fldChar w:fldCharType="separate"/>
        </w:r>
        <w:r>
          <w:rPr>
            <w:lang w:val="zh-CN"/>
          </w:rPr>
          <w:t>8</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zZiNmVmZTI1YzIxNmU4M2QxOGVkY2ExZTY3ODUifQ=="/>
  </w:docVars>
  <w:rsids>
    <w:rsidRoot w:val="009E245E"/>
    <w:rsid w:val="00010E76"/>
    <w:rsid w:val="00022679"/>
    <w:rsid w:val="00033A71"/>
    <w:rsid w:val="00037740"/>
    <w:rsid w:val="00050BCE"/>
    <w:rsid w:val="00050F2D"/>
    <w:rsid w:val="0005225B"/>
    <w:rsid w:val="00056C20"/>
    <w:rsid w:val="0009062F"/>
    <w:rsid w:val="000B4D02"/>
    <w:rsid w:val="000D5206"/>
    <w:rsid w:val="001002A5"/>
    <w:rsid w:val="00100D6C"/>
    <w:rsid w:val="00123487"/>
    <w:rsid w:val="001307AB"/>
    <w:rsid w:val="00135787"/>
    <w:rsid w:val="00153858"/>
    <w:rsid w:val="00172062"/>
    <w:rsid w:val="00173ACF"/>
    <w:rsid w:val="0018398B"/>
    <w:rsid w:val="001975AA"/>
    <w:rsid w:val="001B358A"/>
    <w:rsid w:val="001F3905"/>
    <w:rsid w:val="00212FE2"/>
    <w:rsid w:val="0022123B"/>
    <w:rsid w:val="002223C3"/>
    <w:rsid w:val="00226BB3"/>
    <w:rsid w:val="00232389"/>
    <w:rsid w:val="002372AE"/>
    <w:rsid w:val="002500DB"/>
    <w:rsid w:val="002510F1"/>
    <w:rsid w:val="00251D4A"/>
    <w:rsid w:val="00254468"/>
    <w:rsid w:val="00274C7D"/>
    <w:rsid w:val="00274F59"/>
    <w:rsid w:val="002829F3"/>
    <w:rsid w:val="0029692B"/>
    <w:rsid w:val="002B4B42"/>
    <w:rsid w:val="002B6902"/>
    <w:rsid w:val="002E6306"/>
    <w:rsid w:val="002E68AB"/>
    <w:rsid w:val="002F1630"/>
    <w:rsid w:val="002F37CF"/>
    <w:rsid w:val="00320A9D"/>
    <w:rsid w:val="00325898"/>
    <w:rsid w:val="00340660"/>
    <w:rsid w:val="0034367F"/>
    <w:rsid w:val="003471E7"/>
    <w:rsid w:val="003A044E"/>
    <w:rsid w:val="003D4C15"/>
    <w:rsid w:val="00411D9B"/>
    <w:rsid w:val="0042385D"/>
    <w:rsid w:val="00432AB2"/>
    <w:rsid w:val="00437AE3"/>
    <w:rsid w:val="00440A49"/>
    <w:rsid w:val="0046763B"/>
    <w:rsid w:val="00473F03"/>
    <w:rsid w:val="00477EAB"/>
    <w:rsid w:val="004C4457"/>
    <w:rsid w:val="004C5E70"/>
    <w:rsid w:val="004D379E"/>
    <w:rsid w:val="004F359C"/>
    <w:rsid w:val="004F4267"/>
    <w:rsid w:val="005012D2"/>
    <w:rsid w:val="00501376"/>
    <w:rsid w:val="00555023"/>
    <w:rsid w:val="0055659B"/>
    <w:rsid w:val="005565B0"/>
    <w:rsid w:val="005A6B1A"/>
    <w:rsid w:val="005A71E4"/>
    <w:rsid w:val="005B119E"/>
    <w:rsid w:val="005B5D76"/>
    <w:rsid w:val="005F2582"/>
    <w:rsid w:val="005F7D71"/>
    <w:rsid w:val="00612EF9"/>
    <w:rsid w:val="00650F1F"/>
    <w:rsid w:val="00695A29"/>
    <w:rsid w:val="006A4FCB"/>
    <w:rsid w:val="006B1C52"/>
    <w:rsid w:val="006D39FC"/>
    <w:rsid w:val="006E2AFD"/>
    <w:rsid w:val="006F0E63"/>
    <w:rsid w:val="007540B0"/>
    <w:rsid w:val="00763C54"/>
    <w:rsid w:val="00770C98"/>
    <w:rsid w:val="00795E63"/>
    <w:rsid w:val="007A150D"/>
    <w:rsid w:val="007C0162"/>
    <w:rsid w:val="007C0F6D"/>
    <w:rsid w:val="007C3596"/>
    <w:rsid w:val="007C7C60"/>
    <w:rsid w:val="007D4033"/>
    <w:rsid w:val="007F57B0"/>
    <w:rsid w:val="00813D5F"/>
    <w:rsid w:val="0082574B"/>
    <w:rsid w:val="00835A26"/>
    <w:rsid w:val="008451AD"/>
    <w:rsid w:val="00850720"/>
    <w:rsid w:val="00855501"/>
    <w:rsid w:val="008568E0"/>
    <w:rsid w:val="008A704F"/>
    <w:rsid w:val="008C18DC"/>
    <w:rsid w:val="008F21E6"/>
    <w:rsid w:val="008F3F78"/>
    <w:rsid w:val="008F6678"/>
    <w:rsid w:val="00930706"/>
    <w:rsid w:val="00934868"/>
    <w:rsid w:val="009740F6"/>
    <w:rsid w:val="00990209"/>
    <w:rsid w:val="0099359F"/>
    <w:rsid w:val="009948DE"/>
    <w:rsid w:val="009B2446"/>
    <w:rsid w:val="009C27AE"/>
    <w:rsid w:val="009E245E"/>
    <w:rsid w:val="00A045D7"/>
    <w:rsid w:val="00A17C76"/>
    <w:rsid w:val="00A678CF"/>
    <w:rsid w:val="00A90E44"/>
    <w:rsid w:val="00A90F05"/>
    <w:rsid w:val="00A92F09"/>
    <w:rsid w:val="00A933AA"/>
    <w:rsid w:val="00A96160"/>
    <w:rsid w:val="00AE5D77"/>
    <w:rsid w:val="00AE5DB2"/>
    <w:rsid w:val="00AF2DC3"/>
    <w:rsid w:val="00B21442"/>
    <w:rsid w:val="00B5065B"/>
    <w:rsid w:val="00B56873"/>
    <w:rsid w:val="00B57219"/>
    <w:rsid w:val="00B77223"/>
    <w:rsid w:val="00B8007F"/>
    <w:rsid w:val="00B861F3"/>
    <w:rsid w:val="00B9714D"/>
    <w:rsid w:val="00BB49BB"/>
    <w:rsid w:val="00BC1E1B"/>
    <w:rsid w:val="00BC6606"/>
    <w:rsid w:val="00BD1490"/>
    <w:rsid w:val="00BD5A81"/>
    <w:rsid w:val="00BE0BF7"/>
    <w:rsid w:val="00BF08EA"/>
    <w:rsid w:val="00BF40FB"/>
    <w:rsid w:val="00BF4943"/>
    <w:rsid w:val="00C00C47"/>
    <w:rsid w:val="00C05A68"/>
    <w:rsid w:val="00C40FB6"/>
    <w:rsid w:val="00C44EFC"/>
    <w:rsid w:val="00C60D1F"/>
    <w:rsid w:val="00C72932"/>
    <w:rsid w:val="00C760F7"/>
    <w:rsid w:val="00C804E1"/>
    <w:rsid w:val="00C81C1C"/>
    <w:rsid w:val="00C828A8"/>
    <w:rsid w:val="00C8309F"/>
    <w:rsid w:val="00C85ED2"/>
    <w:rsid w:val="00CA3B5C"/>
    <w:rsid w:val="00CB34BA"/>
    <w:rsid w:val="00CB3E95"/>
    <w:rsid w:val="00CB5CE1"/>
    <w:rsid w:val="00CC2242"/>
    <w:rsid w:val="00CF133E"/>
    <w:rsid w:val="00CF2B5B"/>
    <w:rsid w:val="00D037F5"/>
    <w:rsid w:val="00D17B5B"/>
    <w:rsid w:val="00D20078"/>
    <w:rsid w:val="00D2635A"/>
    <w:rsid w:val="00D310E3"/>
    <w:rsid w:val="00D41E7F"/>
    <w:rsid w:val="00D46455"/>
    <w:rsid w:val="00D50F00"/>
    <w:rsid w:val="00D536DE"/>
    <w:rsid w:val="00D643A7"/>
    <w:rsid w:val="00D649D5"/>
    <w:rsid w:val="00D64CB0"/>
    <w:rsid w:val="00D755FC"/>
    <w:rsid w:val="00D7729D"/>
    <w:rsid w:val="00D95427"/>
    <w:rsid w:val="00D95E7B"/>
    <w:rsid w:val="00DA3F7A"/>
    <w:rsid w:val="00DA4186"/>
    <w:rsid w:val="00DB4605"/>
    <w:rsid w:val="00DF074C"/>
    <w:rsid w:val="00E24A11"/>
    <w:rsid w:val="00E3703F"/>
    <w:rsid w:val="00E5237A"/>
    <w:rsid w:val="00E5323F"/>
    <w:rsid w:val="00E54335"/>
    <w:rsid w:val="00E80BDD"/>
    <w:rsid w:val="00E959CA"/>
    <w:rsid w:val="00EB408D"/>
    <w:rsid w:val="00EC0D9F"/>
    <w:rsid w:val="00EC33B6"/>
    <w:rsid w:val="00EC4D23"/>
    <w:rsid w:val="00F151F8"/>
    <w:rsid w:val="00F46F71"/>
    <w:rsid w:val="00F5632B"/>
    <w:rsid w:val="00F75DB7"/>
    <w:rsid w:val="00F76331"/>
    <w:rsid w:val="00F770C1"/>
    <w:rsid w:val="00F8170A"/>
    <w:rsid w:val="00F94522"/>
    <w:rsid w:val="00FA0F6D"/>
    <w:rsid w:val="00FC48D6"/>
    <w:rsid w:val="00FD2151"/>
    <w:rsid w:val="00FD6960"/>
    <w:rsid w:val="01E82E3D"/>
    <w:rsid w:val="020E304C"/>
    <w:rsid w:val="026F4ED4"/>
    <w:rsid w:val="05491ED0"/>
    <w:rsid w:val="05AD09C3"/>
    <w:rsid w:val="05DE5452"/>
    <w:rsid w:val="08550C1B"/>
    <w:rsid w:val="0A0A303E"/>
    <w:rsid w:val="0DA552CA"/>
    <w:rsid w:val="0E5710D7"/>
    <w:rsid w:val="0E79128B"/>
    <w:rsid w:val="0F963D7A"/>
    <w:rsid w:val="0FA85090"/>
    <w:rsid w:val="1054099E"/>
    <w:rsid w:val="119E7CC8"/>
    <w:rsid w:val="136C13DF"/>
    <w:rsid w:val="140901F5"/>
    <w:rsid w:val="145F6BE4"/>
    <w:rsid w:val="15401B58"/>
    <w:rsid w:val="156929B2"/>
    <w:rsid w:val="173309EE"/>
    <w:rsid w:val="19B952AF"/>
    <w:rsid w:val="19E14434"/>
    <w:rsid w:val="1A0C77A0"/>
    <w:rsid w:val="1B8E3B98"/>
    <w:rsid w:val="1D260A3A"/>
    <w:rsid w:val="1EC811B2"/>
    <w:rsid w:val="1F34254C"/>
    <w:rsid w:val="22D92D25"/>
    <w:rsid w:val="243B2D63"/>
    <w:rsid w:val="27004061"/>
    <w:rsid w:val="27D86120"/>
    <w:rsid w:val="282D4A04"/>
    <w:rsid w:val="28725749"/>
    <w:rsid w:val="2A227B42"/>
    <w:rsid w:val="2A762B4D"/>
    <w:rsid w:val="2B61432A"/>
    <w:rsid w:val="2B621AB2"/>
    <w:rsid w:val="2B7A62F7"/>
    <w:rsid w:val="2BAF0F59"/>
    <w:rsid w:val="2C2D4715"/>
    <w:rsid w:val="2DC65D55"/>
    <w:rsid w:val="2F102B50"/>
    <w:rsid w:val="2F912016"/>
    <w:rsid w:val="2FB33237"/>
    <w:rsid w:val="314E175D"/>
    <w:rsid w:val="31AC2B26"/>
    <w:rsid w:val="32772364"/>
    <w:rsid w:val="33A66AF0"/>
    <w:rsid w:val="33D56D7D"/>
    <w:rsid w:val="33FF47BC"/>
    <w:rsid w:val="355525AC"/>
    <w:rsid w:val="3683043B"/>
    <w:rsid w:val="374611F3"/>
    <w:rsid w:val="37CA5279"/>
    <w:rsid w:val="37DC3697"/>
    <w:rsid w:val="382D2659"/>
    <w:rsid w:val="3A4D21B1"/>
    <w:rsid w:val="3B3552FF"/>
    <w:rsid w:val="3CCF67B3"/>
    <w:rsid w:val="3CEC093D"/>
    <w:rsid w:val="4038074C"/>
    <w:rsid w:val="404767DF"/>
    <w:rsid w:val="407714BE"/>
    <w:rsid w:val="43133997"/>
    <w:rsid w:val="43B83409"/>
    <w:rsid w:val="43FF428C"/>
    <w:rsid w:val="448F6154"/>
    <w:rsid w:val="44C735C6"/>
    <w:rsid w:val="454C485A"/>
    <w:rsid w:val="45A02F43"/>
    <w:rsid w:val="479E4B0C"/>
    <w:rsid w:val="49F312B3"/>
    <w:rsid w:val="49FA1AF7"/>
    <w:rsid w:val="4AFA486C"/>
    <w:rsid w:val="4D89719A"/>
    <w:rsid w:val="509555AD"/>
    <w:rsid w:val="51364AC8"/>
    <w:rsid w:val="51403CFB"/>
    <w:rsid w:val="51573517"/>
    <w:rsid w:val="52E05D19"/>
    <w:rsid w:val="53946A2B"/>
    <w:rsid w:val="542E2DAA"/>
    <w:rsid w:val="55EC6D94"/>
    <w:rsid w:val="570F67E0"/>
    <w:rsid w:val="58D4368E"/>
    <w:rsid w:val="59002B1F"/>
    <w:rsid w:val="5A4E53DC"/>
    <w:rsid w:val="5AAC42EE"/>
    <w:rsid w:val="5CC356BF"/>
    <w:rsid w:val="5E9579C8"/>
    <w:rsid w:val="5ECC7726"/>
    <w:rsid w:val="5F54028C"/>
    <w:rsid w:val="5FDB78EE"/>
    <w:rsid w:val="614B0CD2"/>
    <w:rsid w:val="62A22E78"/>
    <w:rsid w:val="633A7B1D"/>
    <w:rsid w:val="640B38C0"/>
    <w:rsid w:val="640E434B"/>
    <w:rsid w:val="664408FD"/>
    <w:rsid w:val="66FD2DE7"/>
    <w:rsid w:val="688F1729"/>
    <w:rsid w:val="69292992"/>
    <w:rsid w:val="693731F3"/>
    <w:rsid w:val="69391C49"/>
    <w:rsid w:val="6B0A3A11"/>
    <w:rsid w:val="6B9A55A5"/>
    <w:rsid w:val="6C5C6862"/>
    <w:rsid w:val="6D3E12DE"/>
    <w:rsid w:val="6FA65B9A"/>
    <w:rsid w:val="6FFA1867"/>
    <w:rsid w:val="71016942"/>
    <w:rsid w:val="73E1446F"/>
    <w:rsid w:val="749C7D47"/>
    <w:rsid w:val="766F7A12"/>
    <w:rsid w:val="76C475DC"/>
    <w:rsid w:val="76DA11F2"/>
    <w:rsid w:val="77A66A32"/>
    <w:rsid w:val="781A57F1"/>
    <w:rsid w:val="7984089B"/>
    <w:rsid w:val="79FC624F"/>
    <w:rsid w:val="7C5C69BB"/>
    <w:rsid w:val="7C7A612E"/>
    <w:rsid w:val="7C925AF0"/>
    <w:rsid w:val="7FF03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qFormat="1" w:uiPriority="99"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Body Text"/>
    <w:basedOn w:val="1"/>
    <w:unhideWhenUsed/>
    <w:qFormat/>
    <w:uiPriority w:val="99"/>
    <w:pPr>
      <w:spacing w:after="120"/>
    </w:p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index heading"/>
    <w:basedOn w:val="1"/>
    <w:next w:val="8"/>
    <w:unhideWhenUsed/>
    <w:qFormat/>
    <w:uiPriority w:val="99"/>
    <w:rPr>
      <w:rFonts w:ascii="Arial" w:hAnsi="Arial"/>
      <w:b/>
    </w:rPr>
  </w:style>
  <w:style w:type="paragraph" w:styleId="8">
    <w:name w:val="index 1"/>
    <w:basedOn w:val="1"/>
    <w:next w:val="1"/>
    <w:unhideWhenUsed/>
    <w:qFormat/>
    <w:uiPriority w:val="99"/>
  </w:style>
  <w:style w:type="paragraph" w:styleId="9">
    <w:name w:val="Title"/>
    <w:basedOn w:val="1"/>
    <w:qFormat/>
    <w:uiPriority w:val="10"/>
    <w:pPr>
      <w:spacing w:before="240" w:after="60"/>
      <w:jc w:val="center"/>
      <w:outlineLvl w:val="0"/>
    </w:pPr>
    <w:rPr>
      <w:rFonts w:ascii="Arial" w:hAnsi="Arial"/>
      <w:b/>
      <w:sz w:val="32"/>
    </w:rPr>
  </w:style>
  <w:style w:type="paragraph" w:styleId="10">
    <w:name w:val="Body Text First Indent"/>
    <w:basedOn w:val="4"/>
    <w:unhideWhenUsed/>
    <w:qFormat/>
    <w:uiPriority w:val="99"/>
    <w:pPr>
      <w:ind w:firstLine="420" w:firstLineChars="100"/>
    </w:pPr>
  </w:style>
  <w:style w:type="paragraph" w:customStyle="1" w:styleId="13">
    <w:name w:val="法规文本正文"/>
    <w:basedOn w:val="1"/>
    <w:next w:val="1"/>
    <w:qFormat/>
    <w:uiPriority w:val="0"/>
    <w:pPr>
      <w:spacing w:line="560" w:lineRule="exact"/>
      <w:ind w:firstLine="420" w:firstLineChars="200"/>
    </w:pPr>
    <w:rPr>
      <w:rFonts w:eastAsia="仿宋"/>
      <w:sz w:val="32"/>
    </w:rPr>
  </w:style>
  <w:style w:type="paragraph" w:customStyle="1" w:styleId="14">
    <w:name w:val="法规文本一级标题"/>
    <w:basedOn w:val="9"/>
    <w:qFormat/>
    <w:uiPriority w:val="0"/>
    <w:pPr>
      <w:spacing w:line="560" w:lineRule="exact"/>
    </w:pPr>
    <w:rPr>
      <w:rFonts w:eastAsiaTheme="majorEastAsia"/>
      <w:sz w:val="44"/>
    </w:rPr>
  </w:style>
  <w:style w:type="paragraph" w:customStyle="1" w:styleId="15">
    <w:name w:val="法规文本二级标题"/>
    <w:basedOn w:val="2"/>
    <w:next w:val="1"/>
    <w:qFormat/>
    <w:uiPriority w:val="0"/>
    <w:pPr>
      <w:spacing w:before="100" w:beforeLines="100" w:after="100" w:afterLines="100" w:line="560" w:lineRule="exact"/>
      <w:jc w:val="center"/>
      <w:outlineLvl w:val="1"/>
    </w:pPr>
    <w:rPr>
      <w:sz w:val="32"/>
    </w:rPr>
  </w:style>
  <w:style w:type="paragraph" w:customStyle="1" w:styleId="16">
    <w:name w:val="报告文档正文"/>
    <w:basedOn w:val="1"/>
    <w:next w:val="1"/>
    <w:qFormat/>
    <w:uiPriority w:val="0"/>
    <w:pPr>
      <w:spacing w:line="560" w:lineRule="exact"/>
      <w:ind w:firstLine="883" w:firstLineChars="200"/>
    </w:pPr>
    <w:rPr>
      <w:rFonts w:eastAsia="仿宋"/>
      <w:sz w:val="32"/>
    </w:rPr>
  </w:style>
  <w:style w:type="paragraph" w:customStyle="1" w:styleId="17">
    <w:name w:val="报告文档标题"/>
    <w:basedOn w:val="9"/>
    <w:next w:val="1"/>
    <w:qFormat/>
    <w:uiPriority w:val="0"/>
    <w:pPr>
      <w:spacing w:line="560" w:lineRule="exact"/>
    </w:pPr>
    <w:rPr>
      <w:rFonts w:eastAsiaTheme="majorEastAsia"/>
      <w:sz w:val="44"/>
    </w:rPr>
  </w:style>
  <w:style w:type="paragraph" w:customStyle="1" w:styleId="18">
    <w:name w:val="报告文档一级标题"/>
    <w:basedOn w:val="2"/>
    <w:next w:val="1"/>
    <w:qFormat/>
    <w:uiPriority w:val="0"/>
    <w:pPr>
      <w:spacing w:line="560" w:lineRule="exact"/>
      <w:ind w:firstLine="883" w:firstLineChars="200"/>
    </w:pPr>
    <w:rPr>
      <w:rFonts w:eastAsia="黑体"/>
      <w:b w:val="0"/>
      <w:sz w:val="32"/>
    </w:rPr>
  </w:style>
  <w:style w:type="character" w:customStyle="1" w:styleId="19">
    <w:name w:val="页眉 Char"/>
    <w:basedOn w:val="12"/>
    <w:link w:val="6"/>
    <w:semiHidden/>
    <w:qFormat/>
    <w:uiPriority w:val="99"/>
    <w:rPr>
      <w:sz w:val="18"/>
      <w:szCs w:val="18"/>
    </w:rPr>
  </w:style>
  <w:style w:type="character" w:customStyle="1" w:styleId="20">
    <w:name w:val="页脚 Char"/>
    <w:basedOn w:val="12"/>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BB04C-F84F-4166-B173-0EC0AF83956D}">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4012</Words>
  <Characters>4069</Characters>
  <Lines>30</Lines>
  <Paragraphs>8</Paragraphs>
  <TotalTime>47</TotalTime>
  <ScaleCrop>false</ScaleCrop>
  <LinksUpToDate>false</LinksUpToDate>
  <CharactersWithSpaces>4175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2020-10-06T00:45:00Z</dcterms:created>
  <dc:creator>金路</dc:creator>
  <cp:lastModifiedBy>admin</cp:lastModifiedBy>
  <cp:lastPrinted>2021-10-29T06:29:00Z</cp:lastPrinted>
  <dcterms:modified xsi:type="dcterms:W3CDTF">2022-07-20T03:01:55Z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10422F4977184C7A89C724F9EA04513B</vt:lpwstr>
  </property>
</Properties>
</file>